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85" w:rsidRPr="00637385" w:rsidRDefault="00974DFB" w:rsidP="00637385">
      <w:pPr>
        <w:pStyle w:val="fmStandard"/>
        <w:rPr>
          <w:rFonts w:ascii="Arial" w:hAnsi="Arial" w:cs="Arial"/>
          <w:b/>
          <w:szCs w:val="24"/>
        </w:rPr>
      </w:pPr>
      <w:bookmarkStart w:id="0" w:name="_GoBack"/>
      <w:bookmarkEnd w:id="0"/>
      <w:r>
        <w:rPr>
          <w:rFonts w:ascii="Arial" w:hAnsi="Arial" w:cs="Arial"/>
          <w:b/>
          <w:noProof/>
          <w:szCs w:val="24"/>
        </w:rPr>
        <mc:AlternateContent>
          <mc:Choice Requires="wps">
            <w:drawing>
              <wp:anchor distT="0" distB="0" distL="114300" distR="114300" simplePos="0" relativeHeight="251657728" behindDoc="0" locked="0" layoutInCell="1" allowOverlap="1">
                <wp:simplePos x="0" y="0"/>
                <wp:positionH relativeFrom="column">
                  <wp:posOffset>3992245</wp:posOffset>
                </wp:positionH>
                <wp:positionV relativeFrom="paragraph">
                  <wp:posOffset>-749935</wp:posOffset>
                </wp:positionV>
                <wp:extent cx="1927225" cy="634365"/>
                <wp:effectExtent l="1270" t="2540" r="0" b="12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BB1" w:rsidRPr="00650BB1" w:rsidRDefault="00650BB1" w:rsidP="00650BB1">
                            <w:pPr>
                              <w:tabs>
                                <w:tab w:val="right" w:pos="2694"/>
                              </w:tabs>
                              <w:rPr>
                                <w:rFonts w:ascii="Arial" w:hAnsi="Arial" w:cs="Arial"/>
                              </w:rPr>
                            </w:pPr>
                            <w:r>
                              <w:tab/>
                            </w:r>
                            <w:r w:rsidRPr="00650BB1">
                              <w:rPr>
                                <w:rFonts w:ascii="Arial" w:hAnsi="Arial" w:cs="Arial"/>
                              </w:rPr>
                              <w:t>Anlage 2 zum</w:t>
                            </w:r>
                          </w:p>
                          <w:p w:rsidR="00650BB1" w:rsidRPr="00650BB1" w:rsidRDefault="00650BB1" w:rsidP="00650BB1">
                            <w:pPr>
                              <w:tabs>
                                <w:tab w:val="right" w:pos="2694"/>
                              </w:tabs>
                              <w:rPr>
                                <w:rFonts w:ascii="Arial" w:hAnsi="Arial" w:cs="Arial"/>
                              </w:rPr>
                            </w:pPr>
                            <w:r w:rsidRPr="00650BB1">
                              <w:rPr>
                                <w:rFonts w:ascii="Arial" w:hAnsi="Arial" w:cs="Arial"/>
                              </w:rPr>
                              <w:tab/>
                              <w:t>Bewilligungsbescheid</w:t>
                            </w:r>
                          </w:p>
                          <w:p w:rsidR="00650BB1" w:rsidRPr="00650BB1" w:rsidRDefault="00650BB1" w:rsidP="00650BB1">
                            <w:pPr>
                              <w:tabs>
                                <w:tab w:val="right" w:pos="2694"/>
                              </w:tabs>
                              <w:rPr>
                                <w:rFonts w:ascii="Arial" w:hAnsi="Arial" w:cs="Arial"/>
                              </w:rPr>
                            </w:pPr>
                            <w:r w:rsidRPr="00650BB1">
                              <w:rPr>
                                <w:rFonts w:ascii="Arial" w:hAnsi="Arial" w:cs="Arial"/>
                              </w:rPr>
                              <w:tab/>
                              <w:t>„Härtefonds Finanzhilfen“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4.35pt;margin-top:-59.05pt;width:151.75pt;height:4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" stroked="f">
                <v:textbox>
                  <w:txbxContent>
                    <w:p w:rsidR="00650BB1" w:rsidRPr="00650BB1" w:rsidRDefault="00650BB1" w:rsidP="00650BB1">
                      <w:pPr>
                        <w:tabs>
                          <w:tab w:val="right" w:pos="2694"/>
                        </w:tabs>
                        <w:rPr>
                          <w:rFonts w:ascii="Arial" w:hAnsi="Arial" w:cs="Arial"/>
                        </w:rPr>
                      </w:pPr>
                      <w:r>
                        <w:tab/>
                      </w:r>
                      <w:r w:rsidRPr="00650BB1">
                        <w:rPr>
                          <w:rFonts w:ascii="Arial" w:hAnsi="Arial" w:cs="Arial"/>
                        </w:rPr>
                        <w:t>Anlage 2 zum</w:t>
                      </w:r>
                    </w:p>
                    <w:p w:rsidR="00650BB1" w:rsidRPr="00650BB1" w:rsidRDefault="00650BB1" w:rsidP="00650BB1">
                      <w:pPr>
                        <w:tabs>
                          <w:tab w:val="right" w:pos="2694"/>
                        </w:tabs>
                        <w:rPr>
                          <w:rFonts w:ascii="Arial" w:hAnsi="Arial" w:cs="Arial"/>
                        </w:rPr>
                      </w:pPr>
                      <w:r w:rsidRPr="00650BB1">
                        <w:rPr>
                          <w:rFonts w:ascii="Arial" w:hAnsi="Arial" w:cs="Arial"/>
                        </w:rPr>
                        <w:tab/>
                        <w:t>Bewilligungsbescheid</w:t>
                      </w:r>
                    </w:p>
                    <w:p w:rsidR="00650BB1" w:rsidRPr="00650BB1" w:rsidRDefault="00650BB1" w:rsidP="00650BB1">
                      <w:pPr>
                        <w:tabs>
                          <w:tab w:val="right" w:pos="2694"/>
                        </w:tabs>
                        <w:rPr>
                          <w:rFonts w:ascii="Arial" w:hAnsi="Arial" w:cs="Arial"/>
                        </w:rPr>
                      </w:pPr>
                      <w:r w:rsidRPr="00650BB1">
                        <w:rPr>
                          <w:rFonts w:ascii="Arial" w:hAnsi="Arial" w:cs="Arial"/>
                        </w:rPr>
                        <w:tab/>
                        <w:t>„Härtefonds Finanzhilfen“</w:t>
                      </w:r>
                    </w:p>
                  </w:txbxContent>
                </v:textbox>
              </v:shape>
            </w:pict>
          </mc:Fallback>
        </mc:AlternateContent>
      </w:r>
      <w:r w:rsidR="00637385" w:rsidRPr="00637385">
        <w:rPr>
          <w:rFonts w:ascii="Arial" w:hAnsi="Arial" w:cs="Arial"/>
          <w:b/>
          <w:szCs w:val="24"/>
        </w:rPr>
        <w:t xml:space="preserve">Nebenbestimmungen zum Bescheid vom </w:t>
      </w:r>
      <w:bookmarkStart w:id="1" w:name="Text63"/>
      <w:r w:rsidR="00637385" w:rsidRPr="00637385">
        <w:rPr>
          <w:rFonts w:ascii="Arial" w:hAnsi="Arial" w:cs="Arial"/>
          <w:b/>
          <w:szCs w:val="24"/>
        </w:rPr>
        <w:fldChar w:fldCharType="begin">
          <w:ffData>
            <w:name w:val="Text63"/>
            <w:enabled/>
            <w:calcOnExit w:val="0"/>
            <w:textInput/>
          </w:ffData>
        </w:fldChar>
      </w:r>
      <w:r w:rsidR="00637385" w:rsidRPr="00637385">
        <w:rPr>
          <w:rFonts w:ascii="Arial" w:hAnsi="Arial" w:cs="Arial"/>
          <w:b/>
          <w:szCs w:val="24"/>
        </w:rPr>
        <w:instrText xml:space="preserve"> FORMTEXT </w:instrText>
      </w:r>
      <w:r w:rsidR="00637385" w:rsidRPr="00637385">
        <w:rPr>
          <w:rFonts w:ascii="Arial" w:hAnsi="Arial" w:cs="Arial"/>
          <w:b/>
          <w:szCs w:val="24"/>
        </w:rPr>
      </w:r>
      <w:r w:rsidR="00637385" w:rsidRPr="00637385">
        <w:rPr>
          <w:rFonts w:ascii="Arial" w:hAnsi="Arial" w:cs="Arial"/>
          <w:b/>
          <w:szCs w:val="24"/>
        </w:rPr>
        <w:fldChar w:fldCharType="separate"/>
      </w:r>
      <w:r w:rsidR="00637385" w:rsidRPr="00637385">
        <w:rPr>
          <w:rFonts w:ascii="Arial" w:hAnsi="Arial" w:cs="Arial"/>
          <w:b/>
          <w:noProof/>
          <w:szCs w:val="24"/>
        </w:rPr>
        <w:t> </w:t>
      </w:r>
      <w:r w:rsidR="00637385" w:rsidRPr="00637385">
        <w:rPr>
          <w:rFonts w:ascii="Arial" w:hAnsi="Arial" w:cs="Arial"/>
          <w:b/>
          <w:noProof/>
          <w:szCs w:val="24"/>
        </w:rPr>
        <w:t> </w:t>
      </w:r>
      <w:r w:rsidR="00637385" w:rsidRPr="00637385">
        <w:rPr>
          <w:rFonts w:ascii="Arial" w:hAnsi="Arial" w:cs="Arial"/>
          <w:b/>
          <w:noProof/>
          <w:szCs w:val="24"/>
        </w:rPr>
        <w:t> </w:t>
      </w:r>
      <w:r w:rsidR="00637385" w:rsidRPr="00637385">
        <w:rPr>
          <w:rFonts w:ascii="Arial" w:hAnsi="Arial" w:cs="Arial"/>
          <w:b/>
          <w:noProof/>
          <w:szCs w:val="24"/>
        </w:rPr>
        <w:t> </w:t>
      </w:r>
      <w:r w:rsidR="00637385" w:rsidRPr="00637385">
        <w:rPr>
          <w:rFonts w:ascii="Arial" w:hAnsi="Arial" w:cs="Arial"/>
          <w:b/>
          <w:noProof/>
          <w:szCs w:val="24"/>
        </w:rPr>
        <w:t> </w:t>
      </w:r>
      <w:r w:rsidR="00637385" w:rsidRPr="00637385">
        <w:rPr>
          <w:rFonts w:ascii="Arial" w:hAnsi="Arial" w:cs="Arial"/>
          <w:b/>
          <w:szCs w:val="24"/>
        </w:rPr>
        <w:fldChar w:fldCharType="end"/>
      </w:r>
      <w:bookmarkEnd w:id="1"/>
    </w:p>
    <w:p w:rsidR="00637385" w:rsidRPr="00A32AD6" w:rsidRDefault="00637385" w:rsidP="00637385">
      <w:pPr>
        <w:spacing w:line="360" w:lineRule="auto"/>
        <w:jc w:val="both"/>
        <w:rPr>
          <w:rFonts w:ascii="Arial" w:hAnsi="Arial" w:cs="Arial"/>
          <w:sz w:val="22"/>
          <w:szCs w:val="22"/>
        </w:rPr>
      </w:pPr>
    </w:p>
    <w:p w:rsidR="00637385" w:rsidRPr="00A32AD6" w:rsidRDefault="00637385" w:rsidP="00637385">
      <w:pPr>
        <w:numPr>
          <w:ilvl w:val="0"/>
          <w:numId w:val="2"/>
        </w:numPr>
        <w:tabs>
          <w:tab w:val="clear" w:pos="298"/>
        </w:tabs>
        <w:spacing w:line="360" w:lineRule="auto"/>
        <w:ind w:left="340" w:hanging="340"/>
        <w:jc w:val="both"/>
        <w:rPr>
          <w:rFonts w:ascii="Arial" w:hAnsi="Arial" w:cs="Arial"/>
          <w:sz w:val="22"/>
          <w:szCs w:val="22"/>
        </w:rPr>
      </w:pPr>
      <w:r w:rsidRPr="00A32AD6">
        <w:rPr>
          <w:rFonts w:ascii="Arial" w:hAnsi="Arial" w:cs="Arial"/>
          <w:snapToGrid w:val="0"/>
          <w:sz w:val="22"/>
          <w:szCs w:val="22"/>
        </w:rPr>
        <w:t>Die im Bewilligungsbescheid angegebene Finanzierung ist verbindlich. Dies gilt nicht für Mehrkosten, die Sie aus eigenen Mitteln tragen. Bei unabweisbarer Steigerung der Gesamtausgaben zur Schadensbehebung können wir im Rahmen der verfügbaren Au</w:t>
      </w:r>
      <w:r w:rsidRPr="00A32AD6">
        <w:rPr>
          <w:rFonts w:ascii="Arial" w:hAnsi="Arial" w:cs="Arial"/>
          <w:snapToGrid w:val="0"/>
          <w:sz w:val="22"/>
          <w:szCs w:val="22"/>
        </w:rPr>
        <w:t>s</w:t>
      </w:r>
      <w:r w:rsidRPr="00A32AD6">
        <w:rPr>
          <w:rFonts w:ascii="Arial" w:hAnsi="Arial" w:cs="Arial"/>
          <w:snapToGrid w:val="0"/>
          <w:sz w:val="22"/>
          <w:szCs w:val="22"/>
        </w:rPr>
        <w:t>gabemittel nachbewilligen.</w:t>
      </w:r>
    </w:p>
    <w:p w:rsidR="00637385" w:rsidRPr="00A32AD6" w:rsidRDefault="00637385" w:rsidP="00637385">
      <w:pPr>
        <w:spacing w:line="360" w:lineRule="auto"/>
        <w:ind w:left="340"/>
        <w:jc w:val="both"/>
        <w:rPr>
          <w:rFonts w:ascii="Arial" w:hAnsi="Arial" w:cs="Arial"/>
          <w:sz w:val="22"/>
          <w:szCs w:val="22"/>
        </w:rPr>
      </w:pPr>
    </w:p>
    <w:p w:rsidR="00637385" w:rsidRPr="00A32AD6" w:rsidRDefault="00637385" w:rsidP="00637385">
      <w:pPr>
        <w:spacing w:line="360" w:lineRule="auto"/>
        <w:ind w:left="340"/>
        <w:jc w:val="both"/>
        <w:rPr>
          <w:rFonts w:ascii="Arial" w:hAnsi="Arial" w:cs="Arial"/>
          <w:snapToGrid w:val="0"/>
          <w:sz w:val="22"/>
          <w:szCs w:val="22"/>
        </w:rPr>
      </w:pPr>
      <w:r w:rsidRPr="00A32AD6">
        <w:rPr>
          <w:rFonts w:ascii="Arial" w:hAnsi="Arial" w:cs="Arial"/>
          <w:snapToGrid w:val="0"/>
          <w:sz w:val="22"/>
          <w:szCs w:val="22"/>
        </w:rPr>
        <w:t>Die Finanzhilfe darf nur für Zahlungen im Rahmen der Schadensbehebung a</w:t>
      </w:r>
      <w:r w:rsidRPr="00A32AD6">
        <w:rPr>
          <w:rFonts w:ascii="Arial" w:hAnsi="Arial" w:cs="Arial"/>
          <w:snapToGrid w:val="0"/>
          <w:sz w:val="22"/>
          <w:szCs w:val="22"/>
        </w:rPr>
        <w:t>n</w:t>
      </w:r>
      <w:r w:rsidRPr="00A32AD6">
        <w:rPr>
          <w:rFonts w:ascii="Arial" w:hAnsi="Arial" w:cs="Arial"/>
          <w:snapToGrid w:val="0"/>
          <w:sz w:val="22"/>
          <w:szCs w:val="22"/>
        </w:rPr>
        <w:t>gefordert werden und ist spätestens innerhalb von zwei Monaten nach Au</w:t>
      </w:r>
      <w:r w:rsidRPr="00A32AD6">
        <w:rPr>
          <w:rFonts w:ascii="Arial" w:hAnsi="Arial" w:cs="Arial"/>
          <w:snapToGrid w:val="0"/>
          <w:sz w:val="22"/>
          <w:szCs w:val="22"/>
        </w:rPr>
        <w:t>s</w:t>
      </w:r>
      <w:r w:rsidRPr="00A32AD6">
        <w:rPr>
          <w:rFonts w:ascii="Arial" w:hAnsi="Arial" w:cs="Arial"/>
          <w:snapToGrid w:val="0"/>
          <w:sz w:val="22"/>
          <w:szCs w:val="22"/>
        </w:rPr>
        <w:t>zahlung zu verwenden.</w:t>
      </w:r>
    </w:p>
    <w:p w:rsidR="00637385" w:rsidRPr="00A32AD6" w:rsidRDefault="00637385" w:rsidP="00637385">
      <w:pPr>
        <w:spacing w:line="360" w:lineRule="auto"/>
        <w:ind w:left="340"/>
        <w:jc w:val="both"/>
        <w:rPr>
          <w:rFonts w:ascii="Arial" w:hAnsi="Arial" w:cs="Arial"/>
          <w:snapToGrid w:val="0"/>
          <w:sz w:val="22"/>
          <w:szCs w:val="22"/>
        </w:rPr>
      </w:pPr>
    </w:p>
    <w:p w:rsidR="00637385" w:rsidRPr="00A32AD6" w:rsidRDefault="00637385" w:rsidP="00637385">
      <w:pPr>
        <w:numPr>
          <w:ilvl w:val="0"/>
          <w:numId w:val="2"/>
        </w:numPr>
        <w:tabs>
          <w:tab w:val="clear" w:pos="298"/>
        </w:tabs>
        <w:spacing w:line="360" w:lineRule="auto"/>
        <w:ind w:left="340" w:hanging="340"/>
        <w:jc w:val="both"/>
        <w:rPr>
          <w:rFonts w:ascii="Arial" w:hAnsi="Arial" w:cs="Arial"/>
          <w:snapToGrid w:val="0"/>
          <w:sz w:val="22"/>
          <w:szCs w:val="22"/>
        </w:rPr>
      </w:pPr>
      <w:r w:rsidRPr="00A32AD6">
        <w:rPr>
          <w:rFonts w:ascii="Arial" w:hAnsi="Arial" w:cs="Arial"/>
          <w:snapToGrid w:val="0"/>
          <w:sz w:val="22"/>
          <w:szCs w:val="22"/>
        </w:rPr>
        <w:t>Ermäßigen sich nach der Bewilligung die Gesamtausgaben für die Schaden</w:t>
      </w:r>
      <w:r w:rsidRPr="00A32AD6">
        <w:rPr>
          <w:rFonts w:ascii="Arial" w:hAnsi="Arial" w:cs="Arial"/>
          <w:snapToGrid w:val="0"/>
          <w:sz w:val="22"/>
          <w:szCs w:val="22"/>
        </w:rPr>
        <w:t>s</w:t>
      </w:r>
      <w:r w:rsidRPr="00A32AD6">
        <w:rPr>
          <w:rFonts w:ascii="Arial" w:hAnsi="Arial" w:cs="Arial"/>
          <w:snapToGrid w:val="0"/>
          <w:sz w:val="22"/>
          <w:szCs w:val="22"/>
        </w:rPr>
        <w:t>behebung, erhöhen sich die Eigenmittel oder treten neue Finanzierungsmittel hinzu, so ermäßigt sich die Finanzhilfe anteilig, sofern die Änderung weniger als 25 </w:t>
      </w:r>
      <w:r>
        <w:rPr>
          <w:rFonts w:ascii="Arial" w:hAnsi="Arial" w:cs="Arial"/>
          <w:snapToGrid w:val="0"/>
          <w:sz w:val="22"/>
          <w:szCs w:val="22"/>
        </w:rPr>
        <w:t>v. H.</w:t>
      </w:r>
      <w:r w:rsidRPr="00A32AD6">
        <w:rPr>
          <w:rFonts w:ascii="Arial" w:hAnsi="Arial" w:cs="Arial"/>
          <w:snapToGrid w:val="0"/>
          <w:sz w:val="22"/>
          <w:szCs w:val="22"/>
        </w:rPr>
        <w:t xml:space="preserve"> des finanzhilfefähigen Schadens ausmacht. Beträgt die Änderung mehr als 25 </w:t>
      </w:r>
      <w:r>
        <w:rPr>
          <w:rFonts w:ascii="Arial" w:hAnsi="Arial" w:cs="Arial"/>
          <w:snapToGrid w:val="0"/>
          <w:sz w:val="22"/>
          <w:szCs w:val="22"/>
        </w:rPr>
        <w:t>v. H</w:t>
      </w:r>
      <w:r w:rsidRPr="00A32AD6">
        <w:rPr>
          <w:rFonts w:ascii="Arial" w:hAnsi="Arial" w:cs="Arial"/>
          <w:snapToGrid w:val="0"/>
          <w:sz w:val="22"/>
          <w:szCs w:val="22"/>
        </w:rPr>
        <w:t>, werden wir über Art und Höhe der Förderung neu entscheiden.</w:t>
      </w:r>
    </w:p>
    <w:p w:rsidR="00637385" w:rsidRPr="00A32AD6" w:rsidRDefault="00637385" w:rsidP="00637385">
      <w:pPr>
        <w:spacing w:line="360" w:lineRule="auto"/>
        <w:ind w:left="340"/>
        <w:jc w:val="both"/>
        <w:rPr>
          <w:rFonts w:ascii="Arial" w:hAnsi="Arial" w:cs="Arial"/>
          <w:snapToGrid w:val="0"/>
          <w:sz w:val="22"/>
          <w:szCs w:val="22"/>
        </w:rPr>
      </w:pPr>
    </w:p>
    <w:p w:rsidR="00637385" w:rsidRPr="00A32AD6" w:rsidRDefault="00637385" w:rsidP="00637385">
      <w:pPr>
        <w:spacing w:line="360" w:lineRule="auto"/>
        <w:ind w:left="340"/>
        <w:jc w:val="both"/>
        <w:rPr>
          <w:rFonts w:ascii="Arial" w:hAnsi="Arial" w:cs="Arial"/>
          <w:snapToGrid w:val="0"/>
          <w:sz w:val="22"/>
          <w:szCs w:val="22"/>
        </w:rPr>
      </w:pPr>
      <w:r w:rsidRPr="00A32AD6">
        <w:rPr>
          <w:rFonts w:ascii="Arial" w:hAnsi="Arial" w:cs="Arial"/>
          <w:snapToGrid w:val="0"/>
          <w:sz w:val="22"/>
          <w:szCs w:val="22"/>
        </w:rPr>
        <w:t>Bei hinzutretenden Spenden ermäßigt sich die Finanzhilfe dann, wenn andere</w:t>
      </w:r>
      <w:r w:rsidRPr="00A32AD6">
        <w:rPr>
          <w:rFonts w:ascii="Arial" w:hAnsi="Arial" w:cs="Arial"/>
          <w:snapToGrid w:val="0"/>
          <w:sz w:val="22"/>
          <w:szCs w:val="22"/>
        </w:rPr>
        <w:t>n</w:t>
      </w:r>
      <w:r w:rsidRPr="00A32AD6">
        <w:rPr>
          <w:rFonts w:ascii="Arial" w:hAnsi="Arial" w:cs="Arial"/>
          <w:snapToGrid w:val="0"/>
          <w:sz w:val="22"/>
          <w:szCs w:val="22"/>
        </w:rPr>
        <w:t>falls die gesamten Zuwendungen und Leistungen Dritter die für die Schaden</w:t>
      </w:r>
      <w:r w:rsidRPr="00A32AD6">
        <w:rPr>
          <w:rFonts w:ascii="Arial" w:hAnsi="Arial" w:cs="Arial"/>
          <w:snapToGrid w:val="0"/>
          <w:sz w:val="22"/>
          <w:szCs w:val="22"/>
        </w:rPr>
        <w:t>s</w:t>
      </w:r>
      <w:r w:rsidRPr="00A32AD6">
        <w:rPr>
          <w:rFonts w:ascii="Arial" w:hAnsi="Arial" w:cs="Arial"/>
          <w:snapToGrid w:val="0"/>
          <w:sz w:val="22"/>
          <w:szCs w:val="22"/>
        </w:rPr>
        <w:t>behebung erforderlichen Ausgaben übersteigen.</w:t>
      </w:r>
    </w:p>
    <w:p w:rsidR="00637385" w:rsidRPr="00A32AD6" w:rsidRDefault="00637385" w:rsidP="00637385">
      <w:pPr>
        <w:spacing w:line="360" w:lineRule="auto"/>
        <w:jc w:val="both"/>
        <w:rPr>
          <w:rFonts w:ascii="Arial" w:hAnsi="Arial" w:cs="Arial"/>
          <w:snapToGrid w:val="0"/>
          <w:sz w:val="22"/>
          <w:szCs w:val="22"/>
        </w:rPr>
      </w:pPr>
    </w:p>
    <w:p w:rsidR="00637385" w:rsidRDefault="00637385" w:rsidP="00637385">
      <w:pPr>
        <w:numPr>
          <w:ilvl w:val="0"/>
          <w:numId w:val="2"/>
        </w:numPr>
        <w:tabs>
          <w:tab w:val="clear" w:pos="298"/>
        </w:tabs>
        <w:spacing w:line="360" w:lineRule="auto"/>
        <w:ind w:left="340" w:hanging="340"/>
        <w:jc w:val="both"/>
        <w:rPr>
          <w:rFonts w:ascii="Arial" w:hAnsi="Arial" w:cs="Arial"/>
          <w:snapToGrid w:val="0"/>
          <w:sz w:val="22"/>
          <w:szCs w:val="22"/>
        </w:rPr>
      </w:pPr>
      <w:r w:rsidRPr="00A32AD6">
        <w:rPr>
          <w:rFonts w:ascii="Arial" w:hAnsi="Arial" w:cs="Arial"/>
          <w:snapToGrid w:val="0"/>
          <w:sz w:val="22"/>
          <w:szCs w:val="22"/>
        </w:rPr>
        <w:t>Sie sind verpflichtet, uns unverzüglich anz</w:t>
      </w:r>
      <w:r w:rsidRPr="00A32AD6">
        <w:rPr>
          <w:rFonts w:ascii="Arial" w:hAnsi="Arial" w:cs="Arial"/>
          <w:snapToGrid w:val="0"/>
          <w:sz w:val="22"/>
          <w:szCs w:val="22"/>
        </w:rPr>
        <w:t>u</w:t>
      </w:r>
      <w:r w:rsidRPr="00A32AD6">
        <w:rPr>
          <w:rFonts w:ascii="Arial" w:hAnsi="Arial" w:cs="Arial"/>
          <w:snapToGrid w:val="0"/>
          <w:sz w:val="22"/>
          <w:szCs w:val="22"/>
        </w:rPr>
        <w:t>zeigen, wenn</w:t>
      </w:r>
    </w:p>
    <w:p w:rsidR="00637385" w:rsidRPr="00A32AD6" w:rsidRDefault="00637385" w:rsidP="00637385">
      <w:pPr>
        <w:spacing w:line="360" w:lineRule="auto"/>
        <w:jc w:val="both"/>
        <w:rPr>
          <w:rFonts w:ascii="Arial" w:hAnsi="Arial" w:cs="Arial"/>
          <w:snapToGrid w:val="0"/>
          <w:sz w:val="22"/>
          <w:szCs w:val="22"/>
        </w:rPr>
      </w:pPr>
    </w:p>
    <w:p w:rsidR="00637385" w:rsidRPr="00A32AD6" w:rsidRDefault="00637385" w:rsidP="00637385">
      <w:pPr>
        <w:pStyle w:val="fmStandard"/>
        <w:widowControl w:val="0"/>
        <w:numPr>
          <w:ilvl w:val="0"/>
          <w:numId w:val="5"/>
        </w:numPr>
        <w:spacing w:after="120"/>
        <w:rPr>
          <w:rFonts w:ascii="Arial" w:hAnsi="Arial" w:cs="Arial"/>
          <w:snapToGrid w:val="0"/>
          <w:sz w:val="22"/>
          <w:szCs w:val="22"/>
        </w:rPr>
      </w:pPr>
      <w:r w:rsidRPr="00A32AD6">
        <w:rPr>
          <w:rFonts w:ascii="Arial" w:hAnsi="Arial" w:cs="Arial"/>
          <w:snapToGrid w:val="0"/>
          <w:sz w:val="22"/>
          <w:szCs w:val="22"/>
        </w:rPr>
        <w:t>Sie nach Antragstellung oder Bekanntgabe des Bewilligungsbescheids we</w:t>
      </w:r>
      <w:r w:rsidRPr="00A32AD6">
        <w:rPr>
          <w:rFonts w:ascii="Arial" w:hAnsi="Arial" w:cs="Arial"/>
          <w:snapToGrid w:val="0"/>
          <w:sz w:val="22"/>
          <w:szCs w:val="22"/>
        </w:rPr>
        <w:t>i</w:t>
      </w:r>
      <w:r w:rsidRPr="00A32AD6">
        <w:rPr>
          <w:rFonts w:ascii="Arial" w:hAnsi="Arial" w:cs="Arial"/>
          <w:snapToGrid w:val="0"/>
          <w:sz w:val="22"/>
          <w:szCs w:val="22"/>
        </w:rPr>
        <w:t>tere Zuwendungen für denselben Zweck bei anderen öffentlichen Stellen beantragt oder von ihnen erhalten haben oder wenn sich sonstige Änderungen der Fina</w:t>
      </w:r>
      <w:r w:rsidRPr="00A32AD6">
        <w:rPr>
          <w:rFonts w:ascii="Arial" w:hAnsi="Arial" w:cs="Arial"/>
          <w:snapToGrid w:val="0"/>
          <w:sz w:val="22"/>
          <w:szCs w:val="22"/>
        </w:rPr>
        <w:t>n</w:t>
      </w:r>
      <w:r w:rsidRPr="00A32AD6">
        <w:rPr>
          <w:rFonts w:ascii="Arial" w:hAnsi="Arial" w:cs="Arial"/>
          <w:snapToGrid w:val="0"/>
          <w:sz w:val="22"/>
          <w:szCs w:val="22"/>
        </w:rPr>
        <w:t>zierung ergeben,</w:t>
      </w:r>
    </w:p>
    <w:p w:rsidR="00637385" w:rsidRPr="00A32AD6" w:rsidRDefault="00637385" w:rsidP="00637385">
      <w:pPr>
        <w:pStyle w:val="fmStandard"/>
        <w:widowControl w:val="0"/>
        <w:numPr>
          <w:ilvl w:val="0"/>
          <w:numId w:val="5"/>
        </w:numPr>
        <w:spacing w:after="120"/>
        <w:rPr>
          <w:rFonts w:ascii="Arial" w:hAnsi="Arial" w:cs="Arial"/>
          <w:snapToGrid w:val="0"/>
          <w:sz w:val="22"/>
          <w:szCs w:val="22"/>
        </w:rPr>
      </w:pPr>
      <w:r w:rsidRPr="00A32AD6">
        <w:rPr>
          <w:rFonts w:ascii="Arial" w:hAnsi="Arial" w:cs="Arial"/>
          <w:snapToGrid w:val="0"/>
          <w:sz w:val="22"/>
          <w:szCs w:val="22"/>
        </w:rPr>
        <w:t>der Verwendungszweck oder sonstige für die Bewilligung der Finanzhilfe maßgebliche Umstände sich ändern oder wegfa</w:t>
      </w:r>
      <w:r w:rsidRPr="00A32AD6">
        <w:rPr>
          <w:rFonts w:ascii="Arial" w:hAnsi="Arial" w:cs="Arial"/>
          <w:snapToGrid w:val="0"/>
          <w:sz w:val="22"/>
          <w:szCs w:val="22"/>
        </w:rPr>
        <w:t>l</w:t>
      </w:r>
      <w:r w:rsidRPr="00A32AD6">
        <w:rPr>
          <w:rFonts w:ascii="Arial" w:hAnsi="Arial" w:cs="Arial"/>
          <w:snapToGrid w:val="0"/>
          <w:sz w:val="22"/>
          <w:szCs w:val="22"/>
        </w:rPr>
        <w:t>len,</w:t>
      </w:r>
    </w:p>
    <w:p w:rsidR="00637385" w:rsidRPr="00A32AD6" w:rsidRDefault="00637385" w:rsidP="00637385">
      <w:pPr>
        <w:pStyle w:val="fmStandard"/>
        <w:widowControl w:val="0"/>
        <w:numPr>
          <w:ilvl w:val="0"/>
          <w:numId w:val="5"/>
        </w:numPr>
        <w:spacing w:after="120"/>
        <w:rPr>
          <w:rFonts w:ascii="Arial" w:hAnsi="Arial" w:cs="Arial"/>
          <w:snapToGrid w:val="0"/>
          <w:sz w:val="22"/>
          <w:szCs w:val="22"/>
        </w:rPr>
      </w:pPr>
      <w:r w:rsidRPr="00A32AD6">
        <w:rPr>
          <w:rFonts w:ascii="Arial" w:hAnsi="Arial" w:cs="Arial"/>
          <w:snapToGrid w:val="0"/>
          <w:sz w:val="22"/>
          <w:szCs w:val="22"/>
        </w:rPr>
        <w:t>sich herausstellt, dass der Verwendungszweck (Schadensbehebung) übe</w:t>
      </w:r>
      <w:r w:rsidRPr="00A32AD6">
        <w:rPr>
          <w:rFonts w:ascii="Arial" w:hAnsi="Arial" w:cs="Arial"/>
          <w:snapToGrid w:val="0"/>
          <w:sz w:val="22"/>
          <w:szCs w:val="22"/>
        </w:rPr>
        <w:t>r</w:t>
      </w:r>
      <w:r w:rsidRPr="00A32AD6">
        <w:rPr>
          <w:rFonts w:ascii="Arial" w:hAnsi="Arial" w:cs="Arial"/>
          <w:snapToGrid w:val="0"/>
          <w:sz w:val="22"/>
          <w:szCs w:val="22"/>
        </w:rPr>
        <w:t>haupt nicht oder mit der bewilligten Finanzhilfe nicht zu erre</w:t>
      </w:r>
      <w:r w:rsidRPr="00A32AD6">
        <w:rPr>
          <w:rFonts w:ascii="Arial" w:hAnsi="Arial" w:cs="Arial"/>
          <w:snapToGrid w:val="0"/>
          <w:sz w:val="22"/>
          <w:szCs w:val="22"/>
        </w:rPr>
        <w:t>i</w:t>
      </w:r>
      <w:r w:rsidRPr="00A32AD6">
        <w:rPr>
          <w:rFonts w:ascii="Arial" w:hAnsi="Arial" w:cs="Arial"/>
          <w:snapToGrid w:val="0"/>
          <w:sz w:val="22"/>
          <w:szCs w:val="22"/>
        </w:rPr>
        <w:t>chen ist,</w:t>
      </w:r>
    </w:p>
    <w:p w:rsidR="00637385" w:rsidRPr="00A32AD6" w:rsidRDefault="00637385" w:rsidP="00637385">
      <w:pPr>
        <w:pStyle w:val="fmStandard"/>
        <w:widowControl w:val="0"/>
        <w:numPr>
          <w:ilvl w:val="0"/>
          <w:numId w:val="5"/>
        </w:numPr>
        <w:spacing w:after="120"/>
        <w:rPr>
          <w:rFonts w:ascii="Arial" w:hAnsi="Arial" w:cs="Arial"/>
          <w:snapToGrid w:val="0"/>
          <w:sz w:val="22"/>
          <w:szCs w:val="22"/>
        </w:rPr>
      </w:pPr>
      <w:r w:rsidRPr="00A32AD6">
        <w:rPr>
          <w:rFonts w:ascii="Arial" w:hAnsi="Arial" w:cs="Arial"/>
          <w:snapToGrid w:val="0"/>
          <w:sz w:val="22"/>
          <w:szCs w:val="22"/>
        </w:rPr>
        <w:t>die abgerufenen oder ausgezahlten Beträge nicht innerhalb von zwei Mon</w:t>
      </w:r>
      <w:r w:rsidRPr="00A32AD6">
        <w:rPr>
          <w:rFonts w:ascii="Arial" w:hAnsi="Arial" w:cs="Arial"/>
          <w:snapToGrid w:val="0"/>
          <w:sz w:val="22"/>
          <w:szCs w:val="22"/>
        </w:rPr>
        <w:t>a</w:t>
      </w:r>
      <w:r w:rsidRPr="00A32AD6">
        <w:rPr>
          <w:rFonts w:ascii="Arial" w:hAnsi="Arial" w:cs="Arial"/>
          <w:snapToGrid w:val="0"/>
          <w:sz w:val="22"/>
          <w:szCs w:val="22"/>
        </w:rPr>
        <w:t>ten nach Auszahlung verbraucht werden können,</w:t>
      </w:r>
    </w:p>
    <w:p w:rsidR="00637385" w:rsidRPr="00A32AD6" w:rsidRDefault="00637385" w:rsidP="00637385">
      <w:pPr>
        <w:pStyle w:val="fmStandard"/>
        <w:widowControl w:val="0"/>
        <w:numPr>
          <w:ilvl w:val="0"/>
          <w:numId w:val="5"/>
        </w:numPr>
        <w:rPr>
          <w:rFonts w:ascii="Arial" w:hAnsi="Arial" w:cs="Arial"/>
          <w:snapToGrid w:val="0"/>
          <w:sz w:val="22"/>
          <w:szCs w:val="22"/>
        </w:rPr>
      </w:pPr>
      <w:r w:rsidRPr="00A32AD6">
        <w:rPr>
          <w:rFonts w:ascii="Arial" w:hAnsi="Arial" w:cs="Arial"/>
          <w:snapToGrid w:val="0"/>
          <w:sz w:val="22"/>
          <w:szCs w:val="22"/>
        </w:rPr>
        <w:t>ein Insolvenz-, Vergleichs- oder Zwangsvollstreckungsverfahren g</w:t>
      </w:r>
      <w:r w:rsidRPr="00A32AD6">
        <w:rPr>
          <w:rFonts w:ascii="Arial" w:hAnsi="Arial" w:cs="Arial"/>
          <w:snapToGrid w:val="0"/>
          <w:sz w:val="22"/>
          <w:szCs w:val="22"/>
        </w:rPr>
        <w:t>e</w:t>
      </w:r>
      <w:r w:rsidRPr="00A32AD6">
        <w:rPr>
          <w:rFonts w:ascii="Arial" w:hAnsi="Arial" w:cs="Arial"/>
          <w:snapToGrid w:val="0"/>
          <w:sz w:val="22"/>
          <w:szCs w:val="22"/>
        </w:rPr>
        <w:t>gen Sie beantragt oder eröffnet wird.</w:t>
      </w:r>
    </w:p>
    <w:p w:rsidR="00637385" w:rsidRPr="00A32AD6" w:rsidRDefault="00637385" w:rsidP="00637385">
      <w:pPr>
        <w:spacing w:line="360" w:lineRule="auto"/>
        <w:jc w:val="both"/>
        <w:rPr>
          <w:rFonts w:ascii="Arial" w:hAnsi="Arial" w:cs="Arial"/>
          <w:snapToGrid w:val="0"/>
          <w:sz w:val="22"/>
          <w:szCs w:val="22"/>
        </w:rPr>
      </w:pPr>
    </w:p>
    <w:p w:rsidR="00637385" w:rsidRPr="00A32AD6" w:rsidRDefault="00637385" w:rsidP="00637385">
      <w:pPr>
        <w:numPr>
          <w:ilvl w:val="0"/>
          <w:numId w:val="2"/>
        </w:numPr>
        <w:tabs>
          <w:tab w:val="clear" w:pos="298"/>
        </w:tabs>
        <w:spacing w:line="360" w:lineRule="auto"/>
        <w:ind w:left="340" w:hanging="340"/>
        <w:jc w:val="both"/>
        <w:rPr>
          <w:rFonts w:ascii="Arial" w:hAnsi="Arial" w:cs="Arial"/>
          <w:snapToGrid w:val="0"/>
          <w:sz w:val="22"/>
          <w:szCs w:val="22"/>
        </w:rPr>
      </w:pPr>
      <w:r w:rsidRPr="00A32AD6">
        <w:rPr>
          <w:rFonts w:ascii="Arial" w:hAnsi="Arial" w:cs="Arial"/>
          <w:snapToGrid w:val="0"/>
          <w:sz w:val="22"/>
          <w:szCs w:val="22"/>
        </w:rPr>
        <w:lastRenderedPageBreak/>
        <w:t>In einem vereinfachten Verwendungsnachweis ist die zweckentsprechende Verwendung der Finanzhilfe nachzuweisen. Der Nachweis kann entweder b</w:t>
      </w:r>
      <w:r w:rsidRPr="00A32AD6">
        <w:rPr>
          <w:rFonts w:ascii="Arial" w:hAnsi="Arial" w:cs="Arial"/>
          <w:snapToGrid w:val="0"/>
          <w:sz w:val="22"/>
          <w:szCs w:val="22"/>
        </w:rPr>
        <w:t>e</w:t>
      </w:r>
      <w:r w:rsidRPr="00A32AD6">
        <w:rPr>
          <w:rFonts w:ascii="Arial" w:hAnsi="Arial" w:cs="Arial"/>
          <w:snapToGrid w:val="0"/>
          <w:sz w:val="22"/>
          <w:szCs w:val="22"/>
        </w:rPr>
        <w:t>reits bei Auszahlung der Notstandsbeihilfe oder unverzüglich nach Abschluss der Schadensbehebung vorgelegt werden. Er ist jedoch spätestens zu dem von der Bewilligungsbehörde gesetzten Termin zu erbringen.</w:t>
      </w:r>
    </w:p>
    <w:p w:rsidR="00637385" w:rsidRPr="00A32AD6" w:rsidRDefault="00637385" w:rsidP="00637385">
      <w:pPr>
        <w:spacing w:line="360" w:lineRule="auto"/>
        <w:ind w:left="340"/>
        <w:jc w:val="both"/>
        <w:rPr>
          <w:rFonts w:ascii="Arial" w:hAnsi="Arial" w:cs="Arial"/>
          <w:snapToGrid w:val="0"/>
          <w:sz w:val="22"/>
          <w:szCs w:val="22"/>
        </w:rPr>
      </w:pPr>
    </w:p>
    <w:p w:rsidR="00637385" w:rsidRPr="00A32AD6" w:rsidRDefault="00637385" w:rsidP="00637385">
      <w:pPr>
        <w:spacing w:line="360" w:lineRule="auto"/>
        <w:ind w:left="340"/>
        <w:jc w:val="both"/>
        <w:rPr>
          <w:rFonts w:ascii="Arial" w:hAnsi="Arial" w:cs="Arial"/>
          <w:snapToGrid w:val="0"/>
          <w:sz w:val="22"/>
          <w:szCs w:val="22"/>
        </w:rPr>
      </w:pPr>
      <w:r w:rsidRPr="00A32AD6">
        <w:rPr>
          <w:rFonts w:ascii="Arial" w:hAnsi="Arial" w:cs="Arial"/>
          <w:snapToGrid w:val="0"/>
          <w:sz w:val="22"/>
          <w:szCs w:val="22"/>
        </w:rPr>
        <w:t>Der Verwendungsnachweis besteht aus einem Sachbericht und einem zahle</w:t>
      </w:r>
      <w:r w:rsidRPr="00A32AD6">
        <w:rPr>
          <w:rFonts w:ascii="Arial" w:hAnsi="Arial" w:cs="Arial"/>
          <w:snapToGrid w:val="0"/>
          <w:sz w:val="22"/>
          <w:szCs w:val="22"/>
        </w:rPr>
        <w:t>n</w:t>
      </w:r>
      <w:r w:rsidRPr="00A32AD6">
        <w:rPr>
          <w:rFonts w:ascii="Arial" w:hAnsi="Arial" w:cs="Arial"/>
          <w:snapToGrid w:val="0"/>
          <w:sz w:val="22"/>
          <w:szCs w:val="22"/>
        </w:rPr>
        <w:t>mäßigen Nachweis. In dem Sachbericht sind die durchgeführten Maßnahmen darzustellen. In dem zahlenmäßigen Nachweis sind alle mit dem Zuwendung</w:t>
      </w:r>
      <w:r w:rsidRPr="00A32AD6">
        <w:rPr>
          <w:rFonts w:ascii="Arial" w:hAnsi="Arial" w:cs="Arial"/>
          <w:snapToGrid w:val="0"/>
          <w:sz w:val="22"/>
          <w:szCs w:val="22"/>
        </w:rPr>
        <w:t>s</w:t>
      </w:r>
      <w:r w:rsidRPr="00A32AD6">
        <w:rPr>
          <w:rFonts w:ascii="Arial" w:hAnsi="Arial" w:cs="Arial"/>
          <w:snapToGrid w:val="0"/>
          <w:sz w:val="22"/>
          <w:szCs w:val="22"/>
        </w:rPr>
        <w:t>zweck zusammenhängenden Einnahmen (Zuwendungen, Leistungen Dritter, eigene Mittel) und Ausgaben in zeitlicher Folge voneinander getrennt darz</w:t>
      </w:r>
      <w:r w:rsidRPr="00A32AD6">
        <w:rPr>
          <w:rFonts w:ascii="Arial" w:hAnsi="Arial" w:cs="Arial"/>
          <w:snapToGrid w:val="0"/>
          <w:sz w:val="22"/>
          <w:szCs w:val="22"/>
        </w:rPr>
        <w:t>u</w:t>
      </w:r>
      <w:r w:rsidRPr="00A32AD6">
        <w:rPr>
          <w:rFonts w:ascii="Arial" w:hAnsi="Arial" w:cs="Arial"/>
          <w:snapToGrid w:val="0"/>
          <w:sz w:val="22"/>
          <w:szCs w:val="22"/>
        </w:rPr>
        <w:t>stellen. Aus dem Nachweis müssen Tag, Empfänger/Einzahler sowie Grund und Einzelbetrag jeder Zahlung e</w:t>
      </w:r>
      <w:r w:rsidRPr="00A32AD6">
        <w:rPr>
          <w:rFonts w:ascii="Arial" w:hAnsi="Arial" w:cs="Arial"/>
          <w:snapToGrid w:val="0"/>
          <w:sz w:val="22"/>
          <w:szCs w:val="22"/>
        </w:rPr>
        <w:t>r</w:t>
      </w:r>
      <w:r w:rsidRPr="00A32AD6">
        <w:rPr>
          <w:rFonts w:ascii="Arial" w:hAnsi="Arial" w:cs="Arial"/>
          <w:snapToGrid w:val="0"/>
          <w:sz w:val="22"/>
          <w:szCs w:val="22"/>
        </w:rPr>
        <w:t>sichtlich sein.</w:t>
      </w:r>
    </w:p>
    <w:p w:rsidR="00637385" w:rsidRPr="00A32AD6" w:rsidRDefault="00637385" w:rsidP="00637385">
      <w:pPr>
        <w:spacing w:line="360" w:lineRule="auto"/>
        <w:ind w:left="340"/>
        <w:jc w:val="both"/>
        <w:rPr>
          <w:rFonts w:ascii="Arial" w:hAnsi="Arial" w:cs="Arial"/>
          <w:snapToGrid w:val="0"/>
          <w:sz w:val="22"/>
          <w:szCs w:val="22"/>
        </w:rPr>
      </w:pPr>
    </w:p>
    <w:p w:rsidR="00637385" w:rsidRPr="00A32AD6" w:rsidRDefault="00637385" w:rsidP="00637385">
      <w:pPr>
        <w:spacing w:line="360" w:lineRule="auto"/>
        <w:ind w:left="340"/>
        <w:jc w:val="both"/>
        <w:rPr>
          <w:rFonts w:ascii="Arial" w:hAnsi="Arial" w:cs="Arial"/>
          <w:snapToGrid w:val="0"/>
          <w:sz w:val="22"/>
          <w:szCs w:val="22"/>
        </w:rPr>
      </w:pPr>
      <w:r w:rsidRPr="00A32AD6">
        <w:rPr>
          <w:rFonts w:ascii="Arial" w:hAnsi="Arial" w:cs="Arial"/>
          <w:snapToGrid w:val="0"/>
          <w:sz w:val="22"/>
          <w:szCs w:val="22"/>
        </w:rPr>
        <w:t>Soweit Sie die Möglichkeit zum Vorsteuerabzug nach §</w:t>
      </w:r>
      <w:r>
        <w:rPr>
          <w:rFonts w:ascii="Arial" w:hAnsi="Arial" w:cs="Arial"/>
          <w:snapToGrid w:val="0"/>
          <w:sz w:val="22"/>
          <w:szCs w:val="22"/>
        </w:rPr>
        <w:t> </w:t>
      </w:r>
      <w:r w:rsidRPr="00A32AD6">
        <w:rPr>
          <w:rFonts w:ascii="Arial" w:hAnsi="Arial" w:cs="Arial"/>
          <w:snapToGrid w:val="0"/>
          <w:sz w:val="22"/>
          <w:szCs w:val="22"/>
        </w:rPr>
        <w:t>15 des Umsatzsteue</w:t>
      </w:r>
      <w:r w:rsidRPr="00A32AD6">
        <w:rPr>
          <w:rFonts w:ascii="Arial" w:hAnsi="Arial" w:cs="Arial"/>
          <w:snapToGrid w:val="0"/>
          <w:sz w:val="22"/>
          <w:szCs w:val="22"/>
        </w:rPr>
        <w:t>r</w:t>
      </w:r>
      <w:r w:rsidRPr="00A32AD6">
        <w:rPr>
          <w:rFonts w:ascii="Arial" w:hAnsi="Arial" w:cs="Arial"/>
          <w:snapToGrid w:val="0"/>
          <w:sz w:val="22"/>
          <w:szCs w:val="22"/>
        </w:rPr>
        <w:t>gesetzes haben, dürfen nur die Entgelte (Preise ohne Umsatzsteuer) berücksichtigt we</w:t>
      </w:r>
      <w:r w:rsidRPr="00A32AD6">
        <w:rPr>
          <w:rFonts w:ascii="Arial" w:hAnsi="Arial" w:cs="Arial"/>
          <w:snapToGrid w:val="0"/>
          <w:sz w:val="22"/>
          <w:szCs w:val="22"/>
        </w:rPr>
        <w:t>r</w:t>
      </w:r>
      <w:r w:rsidRPr="00A32AD6">
        <w:rPr>
          <w:rFonts w:ascii="Arial" w:hAnsi="Arial" w:cs="Arial"/>
          <w:snapToGrid w:val="0"/>
          <w:sz w:val="22"/>
          <w:szCs w:val="22"/>
        </w:rPr>
        <w:t>den.</w:t>
      </w:r>
    </w:p>
    <w:p w:rsidR="00637385" w:rsidRPr="00A32AD6" w:rsidRDefault="00637385" w:rsidP="00637385">
      <w:pPr>
        <w:spacing w:line="360" w:lineRule="auto"/>
        <w:ind w:left="340"/>
        <w:jc w:val="both"/>
        <w:rPr>
          <w:rFonts w:ascii="Arial" w:hAnsi="Arial" w:cs="Arial"/>
          <w:snapToGrid w:val="0"/>
          <w:sz w:val="22"/>
          <w:szCs w:val="22"/>
        </w:rPr>
      </w:pPr>
    </w:p>
    <w:p w:rsidR="00637385" w:rsidRPr="00A32AD6" w:rsidRDefault="00637385" w:rsidP="00637385">
      <w:pPr>
        <w:spacing w:line="360" w:lineRule="auto"/>
        <w:ind w:left="340"/>
        <w:jc w:val="both"/>
        <w:rPr>
          <w:rFonts w:ascii="Arial" w:hAnsi="Arial" w:cs="Arial"/>
          <w:snapToGrid w:val="0"/>
          <w:sz w:val="22"/>
          <w:szCs w:val="22"/>
        </w:rPr>
      </w:pPr>
      <w:r w:rsidRPr="00A32AD6">
        <w:rPr>
          <w:rFonts w:ascii="Arial" w:hAnsi="Arial" w:cs="Arial"/>
          <w:snapToGrid w:val="0"/>
          <w:sz w:val="22"/>
          <w:szCs w:val="22"/>
        </w:rPr>
        <w:t>Die Belege sind drei Jahre nach Vorlage des Verwendungsnachweises aufzubewa</w:t>
      </w:r>
      <w:r w:rsidRPr="00A32AD6">
        <w:rPr>
          <w:rFonts w:ascii="Arial" w:hAnsi="Arial" w:cs="Arial"/>
          <w:snapToGrid w:val="0"/>
          <w:sz w:val="22"/>
          <w:szCs w:val="22"/>
        </w:rPr>
        <w:t>h</w:t>
      </w:r>
      <w:r w:rsidRPr="00A32AD6">
        <w:rPr>
          <w:rFonts w:ascii="Arial" w:hAnsi="Arial" w:cs="Arial"/>
          <w:snapToGrid w:val="0"/>
          <w:sz w:val="22"/>
          <w:szCs w:val="22"/>
        </w:rPr>
        <w:t>ren.</w:t>
      </w:r>
    </w:p>
    <w:p w:rsidR="00637385" w:rsidRPr="00A32AD6" w:rsidRDefault="00637385" w:rsidP="00637385">
      <w:pPr>
        <w:spacing w:line="360" w:lineRule="auto"/>
        <w:jc w:val="both"/>
        <w:rPr>
          <w:rFonts w:ascii="Arial" w:hAnsi="Arial" w:cs="Arial"/>
          <w:snapToGrid w:val="0"/>
          <w:sz w:val="22"/>
          <w:szCs w:val="22"/>
        </w:rPr>
      </w:pPr>
    </w:p>
    <w:p w:rsidR="00637385" w:rsidRPr="00A32AD6" w:rsidRDefault="00637385" w:rsidP="00637385">
      <w:pPr>
        <w:numPr>
          <w:ilvl w:val="0"/>
          <w:numId w:val="2"/>
        </w:numPr>
        <w:tabs>
          <w:tab w:val="clear" w:pos="298"/>
        </w:tabs>
        <w:spacing w:line="360" w:lineRule="auto"/>
        <w:ind w:left="340" w:hanging="340"/>
        <w:jc w:val="both"/>
        <w:rPr>
          <w:rFonts w:ascii="Arial" w:hAnsi="Arial" w:cs="Arial"/>
          <w:snapToGrid w:val="0"/>
          <w:sz w:val="22"/>
          <w:szCs w:val="22"/>
        </w:rPr>
      </w:pPr>
      <w:r w:rsidRPr="00A32AD6">
        <w:rPr>
          <w:rFonts w:ascii="Arial" w:hAnsi="Arial" w:cs="Arial"/>
          <w:snapToGrid w:val="0"/>
          <w:sz w:val="22"/>
          <w:szCs w:val="22"/>
        </w:rPr>
        <w:t>Wir weisen darauf hin, dass wir berechtigt sind, Bücher, Belege und sonstige Geschäftsunterlagen anzufordern sowie die Verwendung der Finanzhilfe durch örtliche Erhebungen zu prüfen oder durch Beauftragte prüfen zu lassen. Sie haben für diesen Fall die erforderlichen Unterlagen bereitzuhalten und die no</w:t>
      </w:r>
      <w:r w:rsidRPr="00A32AD6">
        <w:rPr>
          <w:rFonts w:ascii="Arial" w:hAnsi="Arial" w:cs="Arial"/>
          <w:snapToGrid w:val="0"/>
          <w:sz w:val="22"/>
          <w:szCs w:val="22"/>
        </w:rPr>
        <w:t>t</w:t>
      </w:r>
      <w:r w:rsidRPr="00A32AD6">
        <w:rPr>
          <w:rFonts w:ascii="Arial" w:hAnsi="Arial" w:cs="Arial"/>
          <w:snapToGrid w:val="0"/>
          <w:sz w:val="22"/>
          <w:szCs w:val="22"/>
        </w:rPr>
        <w:t>wendigen Auskünfte zu erteilen. Zu einer Prüfung der</w:t>
      </w:r>
      <w:r w:rsidR="00171EFD">
        <w:rPr>
          <w:rFonts w:ascii="Arial" w:hAnsi="Arial" w:cs="Arial"/>
          <w:snapToGrid w:val="0"/>
          <w:sz w:val="22"/>
          <w:szCs w:val="22"/>
        </w:rPr>
        <w:t xml:space="preserve"> Mittelverwendung ist nach Art. </w:t>
      </w:r>
      <w:r w:rsidRPr="00A32AD6">
        <w:rPr>
          <w:rFonts w:ascii="Arial" w:hAnsi="Arial" w:cs="Arial"/>
          <w:snapToGrid w:val="0"/>
          <w:sz w:val="22"/>
          <w:szCs w:val="22"/>
        </w:rPr>
        <w:t>91 der Bayerischen Haushaltsordnung auch der Bayerische Oberste Rec</w:t>
      </w:r>
      <w:r w:rsidRPr="00A32AD6">
        <w:rPr>
          <w:rFonts w:ascii="Arial" w:hAnsi="Arial" w:cs="Arial"/>
          <w:snapToGrid w:val="0"/>
          <w:sz w:val="22"/>
          <w:szCs w:val="22"/>
        </w:rPr>
        <w:t>h</w:t>
      </w:r>
      <w:r w:rsidRPr="00A32AD6">
        <w:rPr>
          <w:rFonts w:ascii="Arial" w:hAnsi="Arial" w:cs="Arial"/>
          <w:snapToGrid w:val="0"/>
          <w:sz w:val="22"/>
          <w:szCs w:val="22"/>
        </w:rPr>
        <w:t>nungshof berechtigt.</w:t>
      </w:r>
    </w:p>
    <w:p w:rsidR="00246B9D" w:rsidRDefault="00246B9D"/>
    <w:sectPr w:rsidR="00246B9D" w:rsidSect="00C25FF0">
      <w:footerReference w:type="default" r:id="rId8"/>
      <w:headerReference w:type="firs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DB" w:rsidRDefault="00ED5BDB">
      <w:r>
        <w:separator/>
      </w:r>
    </w:p>
  </w:endnote>
  <w:endnote w:type="continuationSeparator" w:id="0">
    <w:p w:rsidR="00ED5BDB" w:rsidRDefault="00ED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F0" w:rsidRDefault="00C25FF0" w:rsidP="00C25FF0">
    <w:pPr>
      <w:pStyle w:val="Fu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974DFB">
      <w:rPr>
        <w:rStyle w:val="Seitenzahl"/>
        <w:noProof/>
      </w:rPr>
      <w:t>2</w:t>
    </w:r>
    <w:r>
      <w:rPr>
        <w:rStyle w:val="Seitenzahl"/>
      </w:rPr>
      <w:fldChar w:fldCharType="end"/>
    </w:r>
    <w:r>
      <w:rPr>
        <w:rStyle w:val="Seitenzah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DB" w:rsidRDefault="00ED5BDB">
      <w:r>
        <w:separator/>
      </w:r>
    </w:p>
  </w:footnote>
  <w:footnote w:type="continuationSeparator" w:id="0">
    <w:p w:rsidR="00ED5BDB" w:rsidRDefault="00ED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F0" w:rsidRPr="003D32D4" w:rsidRDefault="00C25FF0" w:rsidP="00C25FF0">
    <w:pPr>
      <w:pStyle w:val="Kopfzeile"/>
      <w:jc w:val="right"/>
      <w:rPr>
        <w:rFonts w:ascii="Arial" w:hAnsi="Arial" w:cs="Arial"/>
        <w:b/>
      </w:rPr>
    </w:pPr>
  </w:p>
  <w:p w:rsidR="00C25FF0" w:rsidRDefault="00C25F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81A"/>
    <w:multiLevelType w:val="singleLevel"/>
    <w:tmpl w:val="9162CA76"/>
    <w:name w:val="NrPunkt23"/>
    <w:lvl w:ilvl="0">
      <w:start w:val="1"/>
      <w:numFmt w:val="decimal"/>
      <w:lvlRestart w:val="0"/>
      <w:lvlText w:val="%1."/>
      <w:lvlJc w:val="left"/>
      <w:pPr>
        <w:tabs>
          <w:tab w:val="num" w:pos="298"/>
        </w:tabs>
        <w:ind w:left="298" w:hanging="298"/>
      </w:pPr>
    </w:lvl>
  </w:abstractNum>
  <w:abstractNum w:abstractNumId="1">
    <w:nsid w:val="22E9073D"/>
    <w:multiLevelType w:val="multilevel"/>
    <w:tmpl w:val="64CC697E"/>
    <w:lvl w:ilvl="0">
      <w:start w:val="1"/>
      <w:numFmt w:val="bullet"/>
      <w:lvlText w:val="‒"/>
      <w:lvlJc w:val="left"/>
      <w:pPr>
        <w:tabs>
          <w:tab w:val="num" w:pos="567"/>
        </w:tabs>
        <w:ind w:left="56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4AA1163"/>
    <w:multiLevelType w:val="singleLevel"/>
    <w:tmpl w:val="4E4C2A14"/>
    <w:lvl w:ilvl="0">
      <w:start w:val="1"/>
      <w:numFmt w:val="bullet"/>
      <w:lvlText w:val="-"/>
      <w:lvlJc w:val="left"/>
      <w:pPr>
        <w:tabs>
          <w:tab w:val="num" w:pos="357"/>
        </w:tabs>
        <w:ind w:left="357" w:hanging="357"/>
      </w:pPr>
      <w:rPr>
        <w:b/>
        <w:i w:val="0"/>
        <w:sz w:val="32"/>
      </w:rPr>
    </w:lvl>
  </w:abstractNum>
  <w:abstractNum w:abstractNumId="3">
    <w:nsid w:val="63080796"/>
    <w:multiLevelType w:val="hybridMultilevel"/>
    <w:tmpl w:val="64CC697E"/>
    <w:lvl w:ilvl="0" w:tplc="112C1C08">
      <w:start w:val="1"/>
      <w:numFmt w:val="bullet"/>
      <w:lvlText w:val="‒"/>
      <w:lvlJc w:val="left"/>
      <w:pPr>
        <w:tabs>
          <w:tab w:val="num" w:pos="567"/>
        </w:tabs>
        <w:ind w:left="567" w:hanging="22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F462C7C"/>
    <w:multiLevelType w:val="hybridMultilevel"/>
    <w:tmpl w:val="AA40EDA4"/>
    <w:lvl w:ilvl="0" w:tplc="8954EA40">
      <w:start w:val="1"/>
      <w:numFmt w:val="bullet"/>
      <w:lvlText w:val="‒"/>
      <w:lvlJc w:val="left"/>
      <w:pPr>
        <w:tabs>
          <w:tab w:val="num" w:pos="68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85"/>
    <w:rsid w:val="0000071C"/>
    <w:rsid w:val="00000F18"/>
    <w:rsid w:val="00005D07"/>
    <w:rsid w:val="00010979"/>
    <w:rsid w:val="00022EB9"/>
    <w:rsid w:val="00025480"/>
    <w:rsid w:val="00037A07"/>
    <w:rsid w:val="00037CB5"/>
    <w:rsid w:val="000603E7"/>
    <w:rsid w:val="0006105F"/>
    <w:rsid w:val="00066728"/>
    <w:rsid w:val="00083689"/>
    <w:rsid w:val="0008415D"/>
    <w:rsid w:val="00085F90"/>
    <w:rsid w:val="00086F5E"/>
    <w:rsid w:val="00094C0A"/>
    <w:rsid w:val="00095E44"/>
    <w:rsid w:val="000A0E2C"/>
    <w:rsid w:val="000B08B5"/>
    <w:rsid w:val="000B25D0"/>
    <w:rsid w:val="000C5078"/>
    <w:rsid w:val="000D1995"/>
    <w:rsid w:val="000D63F2"/>
    <w:rsid w:val="000F037C"/>
    <w:rsid w:val="00113BCB"/>
    <w:rsid w:val="001152F4"/>
    <w:rsid w:val="00115743"/>
    <w:rsid w:val="001158B7"/>
    <w:rsid w:val="00131939"/>
    <w:rsid w:val="001414BF"/>
    <w:rsid w:val="00153623"/>
    <w:rsid w:val="001633CD"/>
    <w:rsid w:val="00171EFD"/>
    <w:rsid w:val="001754C3"/>
    <w:rsid w:val="00191CE2"/>
    <w:rsid w:val="001953D5"/>
    <w:rsid w:val="00195661"/>
    <w:rsid w:val="00197DDF"/>
    <w:rsid w:val="001A3CDA"/>
    <w:rsid w:val="001A6EE9"/>
    <w:rsid w:val="001B3F37"/>
    <w:rsid w:val="001B4B60"/>
    <w:rsid w:val="001C1E3E"/>
    <w:rsid w:val="001C41EC"/>
    <w:rsid w:val="001C6375"/>
    <w:rsid w:val="001D3A27"/>
    <w:rsid w:val="001E5467"/>
    <w:rsid w:val="001F6AAC"/>
    <w:rsid w:val="00206E6A"/>
    <w:rsid w:val="00213393"/>
    <w:rsid w:val="00220B82"/>
    <w:rsid w:val="00224AB1"/>
    <w:rsid w:val="00232CB4"/>
    <w:rsid w:val="00234E8C"/>
    <w:rsid w:val="00241B78"/>
    <w:rsid w:val="0024263F"/>
    <w:rsid w:val="00245E26"/>
    <w:rsid w:val="00246B9D"/>
    <w:rsid w:val="00253371"/>
    <w:rsid w:val="00262C18"/>
    <w:rsid w:val="002636FB"/>
    <w:rsid w:val="00284087"/>
    <w:rsid w:val="00285FBB"/>
    <w:rsid w:val="002914D3"/>
    <w:rsid w:val="002A0A3A"/>
    <w:rsid w:val="002A5C9D"/>
    <w:rsid w:val="002B098E"/>
    <w:rsid w:val="002D617B"/>
    <w:rsid w:val="002E4474"/>
    <w:rsid w:val="002F2E26"/>
    <w:rsid w:val="002F4B13"/>
    <w:rsid w:val="002F7D5C"/>
    <w:rsid w:val="00302E1E"/>
    <w:rsid w:val="00303F36"/>
    <w:rsid w:val="00313D9E"/>
    <w:rsid w:val="00321D08"/>
    <w:rsid w:val="00324261"/>
    <w:rsid w:val="00337F0E"/>
    <w:rsid w:val="00341B1F"/>
    <w:rsid w:val="003456F7"/>
    <w:rsid w:val="003503B6"/>
    <w:rsid w:val="00350E02"/>
    <w:rsid w:val="003614D9"/>
    <w:rsid w:val="00393EFD"/>
    <w:rsid w:val="003A0497"/>
    <w:rsid w:val="003A2878"/>
    <w:rsid w:val="003A52C8"/>
    <w:rsid w:val="003B0BF7"/>
    <w:rsid w:val="003B5605"/>
    <w:rsid w:val="003B5B9E"/>
    <w:rsid w:val="003B626D"/>
    <w:rsid w:val="003C1E99"/>
    <w:rsid w:val="003D32D4"/>
    <w:rsid w:val="003D5E92"/>
    <w:rsid w:val="003E1958"/>
    <w:rsid w:val="003E2FA9"/>
    <w:rsid w:val="003E5DFD"/>
    <w:rsid w:val="003F072B"/>
    <w:rsid w:val="00401226"/>
    <w:rsid w:val="00405050"/>
    <w:rsid w:val="00406F82"/>
    <w:rsid w:val="004111C0"/>
    <w:rsid w:val="00412235"/>
    <w:rsid w:val="004129BD"/>
    <w:rsid w:val="00417DE5"/>
    <w:rsid w:val="00430F14"/>
    <w:rsid w:val="00437644"/>
    <w:rsid w:val="004470B5"/>
    <w:rsid w:val="00447BE0"/>
    <w:rsid w:val="00452E56"/>
    <w:rsid w:val="00453B80"/>
    <w:rsid w:val="00466BB1"/>
    <w:rsid w:val="00467C95"/>
    <w:rsid w:val="004702BA"/>
    <w:rsid w:val="00474DCF"/>
    <w:rsid w:val="00476D72"/>
    <w:rsid w:val="00491E9C"/>
    <w:rsid w:val="00497232"/>
    <w:rsid w:val="004A6972"/>
    <w:rsid w:val="004B11D5"/>
    <w:rsid w:val="004B656B"/>
    <w:rsid w:val="004D49F4"/>
    <w:rsid w:val="004E5E4A"/>
    <w:rsid w:val="004E7B4F"/>
    <w:rsid w:val="004F0AD1"/>
    <w:rsid w:val="004F0D04"/>
    <w:rsid w:val="004F329A"/>
    <w:rsid w:val="004F36B0"/>
    <w:rsid w:val="004F50E0"/>
    <w:rsid w:val="004F7A9A"/>
    <w:rsid w:val="00520C26"/>
    <w:rsid w:val="00542390"/>
    <w:rsid w:val="00551684"/>
    <w:rsid w:val="00556AC6"/>
    <w:rsid w:val="00575E4C"/>
    <w:rsid w:val="00582508"/>
    <w:rsid w:val="00583A55"/>
    <w:rsid w:val="00585A3B"/>
    <w:rsid w:val="005902AD"/>
    <w:rsid w:val="00593103"/>
    <w:rsid w:val="005949F7"/>
    <w:rsid w:val="00594BFC"/>
    <w:rsid w:val="00595FB9"/>
    <w:rsid w:val="005971CF"/>
    <w:rsid w:val="005A151A"/>
    <w:rsid w:val="005A1A59"/>
    <w:rsid w:val="005A25DE"/>
    <w:rsid w:val="005B321D"/>
    <w:rsid w:val="005D05E9"/>
    <w:rsid w:val="005D2DD4"/>
    <w:rsid w:val="005E2D9E"/>
    <w:rsid w:val="00612F74"/>
    <w:rsid w:val="00637385"/>
    <w:rsid w:val="0064585C"/>
    <w:rsid w:val="00650012"/>
    <w:rsid w:val="00650BB1"/>
    <w:rsid w:val="00650C11"/>
    <w:rsid w:val="006526DC"/>
    <w:rsid w:val="00660EA4"/>
    <w:rsid w:val="0066630E"/>
    <w:rsid w:val="00667324"/>
    <w:rsid w:val="00676267"/>
    <w:rsid w:val="006A1C85"/>
    <w:rsid w:val="006A60C5"/>
    <w:rsid w:val="006B4B51"/>
    <w:rsid w:val="006B5E64"/>
    <w:rsid w:val="006C0EA1"/>
    <w:rsid w:val="006D03C0"/>
    <w:rsid w:val="006D185B"/>
    <w:rsid w:val="006D4064"/>
    <w:rsid w:val="006F34DC"/>
    <w:rsid w:val="00713FD0"/>
    <w:rsid w:val="007200AB"/>
    <w:rsid w:val="00727858"/>
    <w:rsid w:val="007330A7"/>
    <w:rsid w:val="00744B8A"/>
    <w:rsid w:val="007516B6"/>
    <w:rsid w:val="007620E3"/>
    <w:rsid w:val="00772494"/>
    <w:rsid w:val="00776DB6"/>
    <w:rsid w:val="0079774B"/>
    <w:rsid w:val="007B29F9"/>
    <w:rsid w:val="007B429D"/>
    <w:rsid w:val="007B4632"/>
    <w:rsid w:val="007C45F3"/>
    <w:rsid w:val="007D1A44"/>
    <w:rsid w:val="007E5344"/>
    <w:rsid w:val="007F05E0"/>
    <w:rsid w:val="007F448E"/>
    <w:rsid w:val="00806025"/>
    <w:rsid w:val="00816C50"/>
    <w:rsid w:val="008364B1"/>
    <w:rsid w:val="00853EC9"/>
    <w:rsid w:val="00862DAD"/>
    <w:rsid w:val="00863C3E"/>
    <w:rsid w:val="008770D8"/>
    <w:rsid w:val="008A0E60"/>
    <w:rsid w:val="008A6C45"/>
    <w:rsid w:val="008D11D1"/>
    <w:rsid w:val="008D6EA7"/>
    <w:rsid w:val="008E5FA6"/>
    <w:rsid w:val="009322DA"/>
    <w:rsid w:val="00941D21"/>
    <w:rsid w:val="00953AFC"/>
    <w:rsid w:val="00956D3F"/>
    <w:rsid w:val="00964B30"/>
    <w:rsid w:val="00972AFF"/>
    <w:rsid w:val="00974DFB"/>
    <w:rsid w:val="0098173F"/>
    <w:rsid w:val="00992D3E"/>
    <w:rsid w:val="009B5A0B"/>
    <w:rsid w:val="009C0B39"/>
    <w:rsid w:val="009C60CC"/>
    <w:rsid w:val="009D017B"/>
    <w:rsid w:val="009D772F"/>
    <w:rsid w:val="009E2F50"/>
    <w:rsid w:val="009E3FEC"/>
    <w:rsid w:val="009F08CE"/>
    <w:rsid w:val="009F149B"/>
    <w:rsid w:val="00A13C32"/>
    <w:rsid w:val="00A158F1"/>
    <w:rsid w:val="00A16BA2"/>
    <w:rsid w:val="00A2481E"/>
    <w:rsid w:val="00A2658F"/>
    <w:rsid w:val="00A403EE"/>
    <w:rsid w:val="00A50CD6"/>
    <w:rsid w:val="00A52902"/>
    <w:rsid w:val="00A54844"/>
    <w:rsid w:val="00A54B36"/>
    <w:rsid w:val="00A62156"/>
    <w:rsid w:val="00A6369B"/>
    <w:rsid w:val="00A651B0"/>
    <w:rsid w:val="00A675CE"/>
    <w:rsid w:val="00A764B1"/>
    <w:rsid w:val="00A8117F"/>
    <w:rsid w:val="00A81E64"/>
    <w:rsid w:val="00A84557"/>
    <w:rsid w:val="00AA13F0"/>
    <w:rsid w:val="00AA7DBA"/>
    <w:rsid w:val="00AB43EE"/>
    <w:rsid w:val="00AB66B8"/>
    <w:rsid w:val="00AC19A5"/>
    <w:rsid w:val="00AD3F49"/>
    <w:rsid w:val="00AE11FD"/>
    <w:rsid w:val="00AF4CF2"/>
    <w:rsid w:val="00B00C3B"/>
    <w:rsid w:val="00B151AC"/>
    <w:rsid w:val="00B237A2"/>
    <w:rsid w:val="00B41E95"/>
    <w:rsid w:val="00B56F6F"/>
    <w:rsid w:val="00B71353"/>
    <w:rsid w:val="00B7207F"/>
    <w:rsid w:val="00B73C9D"/>
    <w:rsid w:val="00B80C8B"/>
    <w:rsid w:val="00B86AF5"/>
    <w:rsid w:val="00B91900"/>
    <w:rsid w:val="00BA32B8"/>
    <w:rsid w:val="00BC40E7"/>
    <w:rsid w:val="00BD6E04"/>
    <w:rsid w:val="00BE462E"/>
    <w:rsid w:val="00BF0955"/>
    <w:rsid w:val="00BF26FF"/>
    <w:rsid w:val="00BF2A9A"/>
    <w:rsid w:val="00BF57ED"/>
    <w:rsid w:val="00C040A7"/>
    <w:rsid w:val="00C06F34"/>
    <w:rsid w:val="00C10B94"/>
    <w:rsid w:val="00C11354"/>
    <w:rsid w:val="00C15B93"/>
    <w:rsid w:val="00C254D6"/>
    <w:rsid w:val="00C25FF0"/>
    <w:rsid w:val="00C26F4A"/>
    <w:rsid w:val="00C27522"/>
    <w:rsid w:val="00C31A30"/>
    <w:rsid w:val="00C35901"/>
    <w:rsid w:val="00C37A39"/>
    <w:rsid w:val="00C420CA"/>
    <w:rsid w:val="00C50F57"/>
    <w:rsid w:val="00C75E77"/>
    <w:rsid w:val="00C8296E"/>
    <w:rsid w:val="00C86B5D"/>
    <w:rsid w:val="00C92DF3"/>
    <w:rsid w:val="00CB6A69"/>
    <w:rsid w:val="00CC013F"/>
    <w:rsid w:val="00CC2BCC"/>
    <w:rsid w:val="00CD499A"/>
    <w:rsid w:val="00CD5C74"/>
    <w:rsid w:val="00D025CF"/>
    <w:rsid w:val="00D03173"/>
    <w:rsid w:val="00D13DA5"/>
    <w:rsid w:val="00D14B2A"/>
    <w:rsid w:val="00D220FA"/>
    <w:rsid w:val="00D25139"/>
    <w:rsid w:val="00D2602C"/>
    <w:rsid w:val="00D27ADB"/>
    <w:rsid w:val="00D3193F"/>
    <w:rsid w:val="00D3472A"/>
    <w:rsid w:val="00D47E02"/>
    <w:rsid w:val="00D51797"/>
    <w:rsid w:val="00D61C21"/>
    <w:rsid w:val="00D66B54"/>
    <w:rsid w:val="00D86CC8"/>
    <w:rsid w:val="00D91040"/>
    <w:rsid w:val="00D92E03"/>
    <w:rsid w:val="00D96B05"/>
    <w:rsid w:val="00DA68A8"/>
    <w:rsid w:val="00DC5884"/>
    <w:rsid w:val="00DD2258"/>
    <w:rsid w:val="00DF11D7"/>
    <w:rsid w:val="00DF1353"/>
    <w:rsid w:val="00E03B83"/>
    <w:rsid w:val="00E263D0"/>
    <w:rsid w:val="00E327B7"/>
    <w:rsid w:val="00E347D3"/>
    <w:rsid w:val="00E41F2E"/>
    <w:rsid w:val="00E44627"/>
    <w:rsid w:val="00E52186"/>
    <w:rsid w:val="00E62FB4"/>
    <w:rsid w:val="00E66980"/>
    <w:rsid w:val="00E738E8"/>
    <w:rsid w:val="00E80EBF"/>
    <w:rsid w:val="00E96692"/>
    <w:rsid w:val="00EA37B9"/>
    <w:rsid w:val="00EA5D78"/>
    <w:rsid w:val="00EA627E"/>
    <w:rsid w:val="00EB1E93"/>
    <w:rsid w:val="00EB2232"/>
    <w:rsid w:val="00EB3C6D"/>
    <w:rsid w:val="00EC4BEA"/>
    <w:rsid w:val="00EC7AAC"/>
    <w:rsid w:val="00ED5BDB"/>
    <w:rsid w:val="00EE0F1F"/>
    <w:rsid w:val="00EE2DC4"/>
    <w:rsid w:val="00EE55AC"/>
    <w:rsid w:val="00EF35ED"/>
    <w:rsid w:val="00F13436"/>
    <w:rsid w:val="00F13C0B"/>
    <w:rsid w:val="00F14CF3"/>
    <w:rsid w:val="00F156D6"/>
    <w:rsid w:val="00F22DD9"/>
    <w:rsid w:val="00F26299"/>
    <w:rsid w:val="00F344E5"/>
    <w:rsid w:val="00F4594D"/>
    <w:rsid w:val="00F577FE"/>
    <w:rsid w:val="00F609A6"/>
    <w:rsid w:val="00F7540E"/>
    <w:rsid w:val="00F9137D"/>
    <w:rsid w:val="00FA4E67"/>
    <w:rsid w:val="00FD0956"/>
    <w:rsid w:val="00FD1075"/>
    <w:rsid w:val="00FD23DD"/>
    <w:rsid w:val="00FE099F"/>
    <w:rsid w:val="00FE7882"/>
    <w:rsid w:val="00FF2232"/>
    <w:rsid w:val="00FF6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7385"/>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mStandard">
    <w:name w:val="fmStandard"/>
    <w:basedOn w:val="Standard"/>
    <w:rsid w:val="00637385"/>
    <w:pPr>
      <w:spacing w:line="360" w:lineRule="auto"/>
      <w:jc w:val="both"/>
    </w:pPr>
  </w:style>
  <w:style w:type="paragraph" w:styleId="Kopfzeile">
    <w:name w:val="header"/>
    <w:basedOn w:val="Standard"/>
    <w:rsid w:val="00637385"/>
    <w:pPr>
      <w:tabs>
        <w:tab w:val="center" w:pos="4536"/>
        <w:tab w:val="right" w:pos="9072"/>
      </w:tabs>
    </w:pPr>
  </w:style>
  <w:style w:type="paragraph" w:styleId="Fuzeile">
    <w:name w:val="footer"/>
    <w:basedOn w:val="Standard"/>
    <w:rsid w:val="00637385"/>
    <w:pPr>
      <w:tabs>
        <w:tab w:val="center" w:pos="4536"/>
        <w:tab w:val="right" w:pos="9072"/>
      </w:tabs>
    </w:pPr>
  </w:style>
  <w:style w:type="character" w:styleId="Seitenzahl">
    <w:name w:val="page number"/>
    <w:basedOn w:val="Absatz-Standardschriftart"/>
    <w:rsid w:val="00C25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7385"/>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mStandard">
    <w:name w:val="fmStandard"/>
    <w:basedOn w:val="Standard"/>
    <w:rsid w:val="00637385"/>
    <w:pPr>
      <w:spacing w:line="360" w:lineRule="auto"/>
      <w:jc w:val="both"/>
    </w:pPr>
  </w:style>
  <w:style w:type="paragraph" w:styleId="Kopfzeile">
    <w:name w:val="header"/>
    <w:basedOn w:val="Standard"/>
    <w:rsid w:val="00637385"/>
    <w:pPr>
      <w:tabs>
        <w:tab w:val="center" w:pos="4536"/>
        <w:tab w:val="right" w:pos="9072"/>
      </w:tabs>
    </w:pPr>
  </w:style>
  <w:style w:type="paragraph" w:styleId="Fuzeile">
    <w:name w:val="footer"/>
    <w:basedOn w:val="Standard"/>
    <w:rsid w:val="00637385"/>
    <w:pPr>
      <w:tabs>
        <w:tab w:val="center" w:pos="4536"/>
        <w:tab w:val="right" w:pos="9072"/>
      </w:tabs>
    </w:pPr>
  </w:style>
  <w:style w:type="character" w:styleId="Seitenzahl">
    <w:name w:val="page number"/>
    <w:basedOn w:val="Absatz-Standardschriftart"/>
    <w:rsid w:val="00C2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Nebenbestimmungen zum Bescheid vom</vt:lpstr>
    </vt:vector>
  </TitlesOfParts>
  <Company>BaySTMF</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Nebenbestimmungen zum Bescheid vom</dc:title>
  <dc:creator>LeitnerRoman</dc:creator>
  <cp:lastModifiedBy>Galsterer, Clarissa (StMF)</cp:lastModifiedBy>
  <cp:revision>2</cp:revision>
  <cp:lastPrinted>2013-06-17T13:17:00Z</cp:lastPrinted>
  <dcterms:created xsi:type="dcterms:W3CDTF">2013-06-25T08:19:00Z</dcterms:created>
  <dcterms:modified xsi:type="dcterms:W3CDTF">2013-06-25T08:19:00Z</dcterms:modified>
</cp:coreProperties>
</file>