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/>
    <w:p>
      <w:pPr>
        <w:rPr>
          <w:b/>
        </w:rPr>
      </w:pPr>
      <w:r>
        <w:rPr>
          <w:b/>
        </w:rPr>
        <w:t>Pressemitteilung Nr. 160/25</w:t>
      </w:r>
    </w:p>
    <w:p>
      <w:pPr>
        <w:pBdr>
          <w:bottom w:val="single" w:sz="4" w:space="1" w:color="auto"/>
        </w:pBdr>
        <w:rPr>
          <w:sz w:val="12"/>
        </w:rPr>
      </w:pPr>
    </w:p>
    <w:p>
      <w:pPr>
        <w:rPr>
          <w:sz w:val="16"/>
          <w:szCs w:val="16"/>
        </w:rPr>
      </w:pPr>
    </w:p>
    <w:p>
      <w:pPr>
        <w:pStyle w:val="StK"/>
      </w:pPr>
      <w:r>
        <w:t>München, 23. Mai 2025</w:t>
      </w:r>
    </w:p>
    <w:p>
      <w:pPr>
        <w:pStyle w:val="PMText"/>
        <w:jc w:val="both"/>
        <w:rPr>
          <w:sz w:val="24"/>
          <w:szCs w:val="24"/>
        </w:rPr>
      </w:pPr>
    </w:p>
    <w:p>
      <w:pPr>
        <w:pStyle w:val="PMText"/>
        <w:jc w:val="both"/>
        <w:rPr>
          <w:sz w:val="24"/>
          <w:szCs w:val="24"/>
        </w:rPr>
      </w:pPr>
      <w:r>
        <w:rPr>
          <w:sz w:val="24"/>
          <w:szCs w:val="24"/>
        </w:rPr>
        <w:t>Folgende Kommune erhält einen Förderbescheid für die Glasfasererschließung nach der Bayerischen Gigabitrichtlinie (</w:t>
      </w:r>
      <w:proofErr w:type="spellStart"/>
      <w:r>
        <w:rPr>
          <w:sz w:val="24"/>
          <w:szCs w:val="24"/>
        </w:rPr>
        <w:t>BayGibitR</w:t>
      </w:r>
      <w:proofErr w:type="spellEnd"/>
      <w:r>
        <w:rPr>
          <w:sz w:val="24"/>
          <w:szCs w:val="24"/>
        </w:rPr>
        <w:t>):</w:t>
      </w:r>
    </w:p>
    <w:p>
      <w:pPr>
        <w:pStyle w:val="PMText"/>
        <w:jc w:val="both"/>
        <w:rPr>
          <w:sz w:val="24"/>
          <w:szCs w:val="24"/>
        </w:rPr>
      </w:pPr>
    </w:p>
    <w:tbl>
      <w:tblPr>
        <w:tblStyle w:val="Tabellenraster"/>
        <w:tblW w:w="8217" w:type="dxa"/>
        <w:tblLayout w:type="fixed"/>
        <w:tblLook w:val="04A0" w:firstRow="1" w:lastRow="0" w:firstColumn="1" w:lastColumn="0" w:noHBand="0" w:noVBand="1"/>
      </w:tblPr>
      <w:tblGrid>
        <w:gridCol w:w="1844"/>
        <w:gridCol w:w="2687"/>
        <w:gridCol w:w="1447"/>
        <w:gridCol w:w="2239"/>
      </w:tblGrid>
      <w:tr>
        <w:tc>
          <w:tcPr>
            <w:tcW w:w="1844" w:type="dxa"/>
          </w:tcPr>
          <w:p>
            <w:pPr>
              <w:pStyle w:val="PMTex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Landkreis</w:t>
            </w:r>
          </w:p>
        </w:tc>
        <w:tc>
          <w:tcPr>
            <w:tcW w:w="2687" w:type="dxa"/>
          </w:tcPr>
          <w:p>
            <w:pPr>
              <w:pStyle w:val="PMTex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Förderempfänger</w:t>
            </w:r>
          </w:p>
        </w:tc>
        <w:tc>
          <w:tcPr>
            <w:tcW w:w="1447" w:type="dxa"/>
          </w:tcPr>
          <w:p>
            <w:pPr>
              <w:pStyle w:val="PM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Adressen</w:t>
            </w:r>
          </w:p>
        </w:tc>
        <w:tc>
          <w:tcPr>
            <w:tcW w:w="2239" w:type="dxa"/>
          </w:tcPr>
          <w:p>
            <w:pPr>
              <w:pStyle w:val="PM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Fördersumme in €</w:t>
            </w:r>
          </w:p>
        </w:tc>
      </w:tr>
      <w:tr>
        <w:tc>
          <w:tcPr>
            <w:tcW w:w="1844" w:type="dxa"/>
          </w:tcPr>
          <w:p>
            <w:pPr>
              <w:spacing w:after="240" w:line="360" w:lineRule="auto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Haßberge</w:t>
            </w:r>
            <w:proofErr w:type="spellEnd"/>
          </w:p>
        </w:tc>
        <w:tc>
          <w:tcPr>
            <w:tcW w:w="2687" w:type="dxa"/>
          </w:tcPr>
          <w:p>
            <w:pPr>
              <w:spacing w:after="240"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Gemeinde Rauhenebrach</w:t>
            </w:r>
          </w:p>
        </w:tc>
        <w:tc>
          <w:tcPr>
            <w:tcW w:w="1447" w:type="dxa"/>
          </w:tcPr>
          <w:p>
            <w:pPr>
              <w:spacing w:after="240"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709</w:t>
            </w:r>
          </w:p>
        </w:tc>
        <w:tc>
          <w:tcPr>
            <w:tcW w:w="2239" w:type="dxa"/>
          </w:tcPr>
          <w:p>
            <w:pPr>
              <w:spacing w:after="240"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3.897.533,00</w:t>
            </w:r>
          </w:p>
        </w:tc>
      </w:tr>
    </w:tbl>
    <w:p>
      <w:pPr>
        <w:pStyle w:val="PMText"/>
        <w:jc w:val="both"/>
        <w:rPr>
          <w:sz w:val="24"/>
          <w:szCs w:val="24"/>
        </w:rPr>
      </w:pPr>
    </w:p>
    <w:p>
      <w:pPr>
        <w:pStyle w:val="PMText"/>
        <w:rPr>
          <w:sz w:val="24"/>
          <w:szCs w:val="24"/>
        </w:rPr>
      </w:pPr>
      <w:r>
        <w:rPr>
          <w:sz w:val="24"/>
          <w:szCs w:val="24"/>
        </w:rPr>
        <w:t>Folgende Kommunen erhalten einen Förderbescheid aus der bayerischen Kofinanzierung zur Bundesförderung (</w:t>
      </w:r>
      <w:proofErr w:type="spellStart"/>
      <w:r>
        <w:rPr>
          <w:sz w:val="24"/>
          <w:szCs w:val="24"/>
        </w:rPr>
        <w:t>KofGibitR</w:t>
      </w:r>
      <w:proofErr w:type="spellEnd"/>
      <w:r>
        <w:rPr>
          <w:sz w:val="24"/>
          <w:szCs w:val="24"/>
        </w:rPr>
        <w:t xml:space="preserve"> 2.0):</w:t>
      </w:r>
    </w:p>
    <w:p>
      <w:pPr>
        <w:pStyle w:val="PMText"/>
        <w:rPr>
          <w:sz w:val="24"/>
          <w:szCs w:val="24"/>
        </w:rPr>
      </w:pPr>
    </w:p>
    <w:tbl>
      <w:tblPr>
        <w:tblW w:w="821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3463"/>
        <w:gridCol w:w="2349"/>
      </w:tblGrid>
      <w:tr>
        <w:trPr>
          <w:trHeight w:val="453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>
            <w:pPr>
              <w:pStyle w:val="PM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Landkreis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>
            <w:pPr>
              <w:pStyle w:val="PM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Förderempfänger</w:t>
            </w:r>
          </w:p>
        </w:tc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>
            <w:pPr>
              <w:pStyle w:val="PM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Fördersumme in €</w:t>
            </w:r>
          </w:p>
        </w:tc>
      </w:tr>
      <w:tr>
        <w:trPr>
          <w:trHeight w:val="54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Freyung-Grafenau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Stadt Waldkirchen</w:t>
            </w:r>
          </w:p>
        </w:tc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1.501.537,00</w:t>
            </w:r>
          </w:p>
        </w:tc>
      </w:tr>
      <w:tr>
        <w:trPr>
          <w:trHeight w:val="54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Schweinfurt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Gemeinde Poppenhausen</w:t>
            </w:r>
          </w:p>
        </w:tc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616.807,00</w:t>
            </w:r>
          </w:p>
        </w:tc>
      </w:tr>
    </w:tbl>
    <w:p>
      <w:pPr>
        <w:pStyle w:val="PMText"/>
        <w:jc w:val="both"/>
        <w:rPr>
          <w:sz w:val="24"/>
          <w:szCs w:val="24"/>
          <w:shd w:val="clear" w:color="auto" w:fill="FFFFFF"/>
        </w:rPr>
      </w:pPr>
    </w:p>
    <w:sectPr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851" w:right="2495" w:bottom="851" w:left="1361" w:header="397" w:footer="23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  <w:endnote w:type="continuationNotice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  <w:jc w:val="right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IF </w:instrText>
    </w:r>
    <w:r>
      <w:rPr>
        <w:rFonts w:cs="Arial"/>
      </w:rPr>
      <w:fldChar w:fldCharType="begin"/>
    </w:r>
    <w:r>
      <w:rPr>
        <w:rFonts w:cs="Arial"/>
      </w:rPr>
      <w:instrText xml:space="preserve"> PAGE  </w:instrText>
    </w:r>
    <w:r>
      <w:rPr>
        <w:rFonts w:cs="Arial"/>
      </w:rPr>
      <w:fldChar w:fldCharType="separate"/>
    </w:r>
    <w:r>
      <w:rPr>
        <w:rFonts w:cs="Arial"/>
        <w:noProof/>
      </w:rPr>
      <w:instrText>2</w:instrText>
    </w:r>
    <w:r>
      <w:rPr>
        <w:rFonts w:cs="Arial"/>
      </w:rPr>
      <w:fldChar w:fldCharType="end"/>
    </w:r>
    <w:r>
      <w:rPr>
        <w:rFonts w:cs="Arial"/>
      </w:rPr>
      <w:instrText xml:space="preserve"> &lt; </w:instrText>
    </w:r>
    <w:r>
      <w:rPr>
        <w:rFonts w:cs="Arial"/>
      </w:rPr>
      <w:fldChar w:fldCharType="begin"/>
    </w:r>
    <w:r>
      <w:rPr>
        <w:rFonts w:cs="Arial"/>
      </w:rPr>
      <w:instrText xml:space="preserve"> NUMPAGES </w:instrText>
    </w:r>
    <w:r>
      <w:rPr>
        <w:rFonts w:cs="Arial"/>
      </w:rPr>
      <w:fldChar w:fldCharType="separate"/>
    </w:r>
    <w:r>
      <w:rPr>
        <w:rFonts w:cs="Arial"/>
        <w:noProof/>
      </w:rPr>
      <w:instrText>2</w:instrText>
    </w:r>
    <w:r>
      <w:rPr>
        <w:rFonts w:cs="Arial"/>
      </w:rPr>
      <w:fldChar w:fldCharType="end"/>
    </w:r>
    <w:r>
      <w:rPr>
        <w:rFonts w:cs="Arial"/>
      </w:rPr>
      <w:instrText xml:space="preserve"> ./.</w:instrText>
    </w:r>
    <w:r>
      <w:rPr>
        <w:rFonts w:cs="Arial"/>
      </w:rPr>
      <w:fldChar w:fldCharType="end"/>
    </w:r>
  </w:p>
  <w:p>
    <w:pPr>
      <w:pStyle w:val="Fuzeile"/>
      <w:rPr>
        <w:rFonts w:cs="Arial"/>
        <w:sz w:val="16"/>
      </w:rPr>
    </w:pPr>
  </w:p>
  <w:p>
    <w:pPr>
      <w:pStyle w:val="Fuzeile"/>
      <w:rPr>
        <w:rFonts w:cs="Arial"/>
        <w:sz w:val="16"/>
      </w:rPr>
    </w:pPr>
  </w:p>
  <w:p>
    <w:pPr>
      <w:pStyle w:val="Fuzeile"/>
      <w:rPr>
        <w:rFonts w:cs="Arial"/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  <w:rPr>
        <w:rFonts w:cs="Arial"/>
        <w:sz w:val="16"/>
      </w:rPr>
    </w:pPr>
  </w:p>
  <w:p>
    <w:pPr>
      <w:pStyle w:val="Fuzeile"/>
      <w:rPr>
        <w:rFonts w:cs="Arial"/>
        <w:sz w:val="8"/>
        <w:szCs w:val="8"/>
      </w:rPr>
    </w:pPr>
  </w:p>
  <w:tbl>
    <w:tblPr>
      <w:tblW w:w="1020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18"/>
      <w:gridCol w:w="2551"/>
      <w:gridCol w:w="2552"/>
      <w:gridCol w:w="1417"/>
      <w:gridCol w:w="567"/>
      <w:gridCol w:w="567"/>
      <w:gridCol w:w="567"/>
      <w:gridCol w:w="567"/>
    </w:tblGrid>
    <w:tr>
      <w:trPr>
        <w:cantSplit/>
        <w:trHeight w:val="135"/>
      </w:trPr>
      <w:tc>
        <w:tcPr>
          <w:tcW w:w="1418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Pressesprecher:</w:t>
          </w:r>
        </w:p>
      </w:tc>
      <w:tc>
        <w:tcPr>
          <w:tcW w:w="2551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Telefon: 089 2306-2460</w:t>
          </w:r>
        </w:p>
      </w:tc>
      <w:tc>
        <w:tcPr>
          <w:tcW w:w="2552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E-Mail:   </w:t>
          </w:r>
          <w:hyperlink r:id="rId1" w:history="1">
            <w:r>
              <w:rPr>
                <w:rStyle w:val="Hyperlink"/>
                <w:rFonts w:cs="Arial"/>
                <w:color w:val="auto"/>
                <w:sz w:val="14"/>
                <w:u w:val="none"/>
              </w:rPr>
              <w:t>presse@stmfh.bayern.de</w:t>
            </w:r>
          </w:hyperlink>
        </w:p>
      </w:tc>
      <w:tc>
        <w:tcPr>
          <w:tcW w:w="1417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Odeonsplatz 4</w:t>
          </w:r>
        </w:p>
      </w:tc>
      <w:tc>
        <w:tcPr>
          <w:tcW w:w="2268" w:type="dxa"/>
          <w:gridSpan w:val="4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  </w:t>
          </w:r>
          <w:r>
            <w:rPr>
              <w:rFonts w:cs="Arial"/>
              <w:sz w:val="4"/>
              <w:szCs w:val="4"/>
            </w:rPr>
            <w:t xml:space="preserve"> </w:t>
          </w:r>
          <w:r>
            <w:rPr>
              <w:rFonts w:cs="Arial"/>
              <w:sz w:val="14"/>
            </w:rPr>
            <w:t>Folgen Sie uns im Netz:</w:t>
          </w:r>
        </w:p>
      </w:tc>
    </w:tr>
    <w:tr>
      <w:trPr>
        <w:cantSplit/>
        <w:trHeight w:val="415"/>
      </w:trPr>
      <w:tc>
        <w:tcPr>
          <w:tcW w:w="1418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Dennis Drescher</w:t>
          </w:r>
        </w:p>
      </w:tc>
      <w:tc>
        <w:tcPr>
          <w:tcW w:w="2551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Telefax: 089 2809-327</w:t>
          </w:r>
        </w:p>
      </w:tc>
      <w:tc>
        <w:tcPr>
          <w:tcW w:w="2552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Internet: </w:t>
          </w:r>
          <w:hyperlink r:id="rId2" w:history="1">
            <w:r>
              <w:rPr>
                <w:rStyle w:val="Hyperlink"/>
                <w:rFonts w:cs="Arial"/>
                <w:color w:val="auto"/>
                <w:sz w:val="14"/>
                <w:u w:val="none"/>
              </w:rPr>
              <w:t>www.stmfh.bayern.de</w:t>
            </w:r>
          </w:hyperlink>
        </w:p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              </w:t>
          </w:r>
          <w:hyperlink r:id="rId3" w:history="1">
            <w:r>
              <w:rPr>
                <w:rStyle w:val="Hyperlink"/>
                <w:rFonts w:cs="Arial"/>
                <w:color w:val="auto"/>
                <w:sz w:val="14"/>
                <w:u w:val="none"/>
              </w:rPr>
              <w:t>(Datenschutzhinweis)</w:t>
            </w:r>
          </w:hyperlink>
        </w:p>
      </w:tc>
      <w:tc>
        <w:tcPr>
          <w:tcW w:w="1417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80539 München</w:t>
          </w:r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>
                <wp:extent cx="228600" cy="228600"/>
                <wp:effectExtent l="0" t="0" r="0" b="0"/>
                <wp:docPr id="22" name="Grafik 13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3" descr="Twitter_Social_Icon_Circle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14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>
                <wp:extent cx="238125" cy="238125"/>
                <wp:effectExtent l="0" t="0" r="0" b="0"/>
                <wp:docPr id="23" name="Bild 23" descr="f_logo_RGB-Blue_1024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_logo_RGB-Blue_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8" w:history="1"/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  <w:r>
            <w:rPr>
              <w:rFonts w:cs="Arial"/>
              <w:noProof/>
              <w:sz w:val="8"/>
              <w:szCs w:val="8"/>
            </w:rPr>
            <w:drawing>
              <wp:inline distT="0" distB="0" distL="0" distR="0">
                <wp:extent cx="228600" cy="228600"/>
                <wp:effectExtent l="0" t="0" r="0" b="0"/>
                <wp:docPr id="24" name="Bild 24" descr="ig-icon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ig-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14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>
                <wp:extent cx="228600" cy="228600"/>
                <wp:effectExtent l="0" t="0" r="0" b="0"/>
                <wp:docPr id="25" name="Bild 25" descr="youtube_social_circle_red-1-300x300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youtube_social_circle_red-1-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13" w:history="1"/>
        </w:p>
      </w:tc>
    </w:tr>
  </w:tbl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1">
    <w:p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59"/>
      <w:gridCol w:w="1446"/>
    </w:tblGrid>
    <w:tr>
      <w:trPr>
        <w:cantSplit/>
        <w:trHeight w:val="794"/>
      </w:trPr>
      <w:tc>
        <w:tcPr>
          <w:tcW w:w="8859" w:type="dxa"/>
          <w:vAlign w:val="center"/>
        </w:tcPr>
        <w:p>
          <w:pPr>
            <w:pStyle w:val="Kopfzeile"/>
            <w:jc w:val="center"/>
          </w:pPr>
          <w:r>
            <w:t xml:space="preserve">- </w:t>
          </w:r>
          <w:r>
            <w:fldChar w:fldCharType="begin"/>
          </w:r>
          <w:r>
            <w:instrText xml:space="preserve"> PAGE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t xml:space="preserve"> -</w:t>
          </w:r>
        </w:p>
      </w:tc>
      <w:tc>
        <w:tcPr>
          <w:tcW w:w="1446" w:type="dxa"/>
        </w:tcPr>
        <w:p>
          <w:pPr>
            <w:pStyle w:val="Kopfzeile"/>
            <w:jc w:val="right"/>
          </w:pPr>
        </w:p>
      </w:tc>
    </w:tr>
  </w:tbl>
  <w:p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051"/>
      <w:gridCol w:w="340"/>
      <w:gridCol w:w="1814"/>
    </w:tblGrid>
    <w:tr>
      <w:trPr>
        <w:trHeight w:hRule="exact" w:val="1080"/>
      </w:trPr>
      <w:tc>
        <w:tcPr>
          <w:tcW w:w="8051" w:type="dxa"/>
          <w:vAlign w:val="bottom"/>
        </w:tcPr>
        <w:p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Univers" w:hAnsi="Univers"/>
              <w:sz w:val="32"/>
            </w:rPr>
          </w:pPr>
        </w:p>
        <w:p>
          <w:pPr>
            <w:pStyle w:val="Kopfzeile"/>
            <w:jc w:val="right"/>
            <w:rPr>
              <w:rFonts w:cs="Arial"/>
              <w:color w:val="008ECC"/>
              <w:sz w:val="32"/>
            </w:rPr>
          </w:pPr>
          <w:r>
            <w:rPr>
              <w:rFonts w:cs="Arial"/>
              <w:color w:val="008ECC"/>
              <w:sz w:val="32"/>
            </w:rPr>
            <w:t>Bayerisches Staatsministerium</w:t>
          </w:r>
        </w:p>
        <w:p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Univers" w:hAnsi="Univers"/>
              <w:sz w:val="32"/>
            </w:rPr>
          </w:pPr>
          <w:r>
            <w:rPr>
              <w:rFonts w:cs="Arial"/>
              <w:color w:val="008ECC"/>
              <w:sz w:val="32"/>
            </w:rPr>
            <w:t>der Finanzen und für Heimat</w:t>
          </w:r>
          <w:r>
            <w:rPr>
              <w:rFonts w:ascii="Univers" w:hAnsi="Univers"/>
              <w:sz w:val="32"/>
            </w:rPr>
            <w:t xml:space="preserve"> </w:t>
          </w:r>
        </w:p>
      </w:tc>
      <w:tc>
        <w:tcPr>
          <w:tcW w:w="340" w:type="dxa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right"/>
            <w:rPr>
              <w:sz w:val="48"/>
            </w:rPr>
          </w:pPr>
        </w:p>
      </w:tc>
      <w:tc>
        <w:tcPr>
          <w:tcW w:w="1814" w:type="dxa"/>
          <w:tcBorders>
            <w:left w:val="nil"/>
          </w:tcBorders>
          <w:vAlign w:val="bottom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133475" cy="685800"/>
                <wp:effectExtent l="0" t="0" r="0" b="0"/>
                <wp:docPr id="21" name="Bild 21" descr="Großes Staatswappen_P_4c-300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Großes Staatswappen_P_4c-300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60"/>
      </w:trPr>
      <w:tc>
        <w:tcPr>
          <w:tcW w:w="8051" w:type="dxa"/>
          <w:vAlign w:val="bottom"/>
        </w:tcPr>
        <w:p>
          <w:pPr>
            <w:jc w:val="right"/>
            <w:rPr>
              <w:rFonts w:cs="Arial"/>
              <w:color w:val="808080"/>
              <w:sz w:val="26"/>
            </w:rPr>
          </w:pPr>
          <w:r>
            <w:rPr>
              <w:rFonts w:cs="Arial"/>
              <w:color w:val="808080"/>
              <w:sz w:val="26"/>
            </w:rPr>
            <w:t>Pressemitteilung</w:t>
          </w:r>
        </w:p>
      </w:tc>
      <w:tc>
        <w:tcPr>
          <w:tcW w:w="340" w:type="dxa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right"/>
            <w:rPr>
              <w:rFonts w:ascii="Univers" w:hAnsi="Univers"/>
              <w:sz w:val="14"/>
            </w:rPr>
          </w:pPr>
        </w:p>
      </w:tc>
      <w:tc>
        <w:tcPr>
          <w:tcW w:w="1814" w:type="dxa"/>
          <w:tcBorders>
            <w:left w:val="nil"/>
          </w:tcBorders>
          <w:vAlign w:val="bottom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center"/>
            <w:rPr>
              <w:vanish/>
              <w:sz w:val="20"/>
            </w:rPr>
          </w:pPr>
          <w:bookmarkStart w:id="0" w:name="Namenkürzel"/>
          <w:bookmarkEnd w:id="0"/>
        </w:p>
      </w:tc>
    </w:tr>
  </w:tbl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237A"/>
    <w:multiLevelType w:val="hybridMultilevel"/>
    <w:tmpl w:val="B2A60D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6906"/>
    <w:multiLevelType w:val="hybridMultilevel"/>
    <w:tmpl w:val="0CBA9F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FA0EA31C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EE0B23"/>
    <w:multiLevelType w:val="hybridMultilevel"/>
    <w:tmpl w:val="CC08C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67696"/>
    <w:multiLevelType w:val="hybridMultilevel"/>
    <w:tmpl w:val="F85ED68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4113CB9"/>
    <w:multiLevelType w:val="hybridMultilevel"/>
    <w:tmpl w:val="8AC4FE9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A44C7B"/>
    <w:multiLevelType w:val="hybridMultilevel"/>
    <w:tmpl w:val="8304D5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kumententyp" w:val="F-Pressem"/>
    <w:docVar w:name="E-Mail" w:val="staatskanzlei@stk.bayern.de"/>
    <w:docVar w:name="Erstelldatum" w:val="03.03.2021"/>
    <w:docVar w:name="Ersteller" w:val="FD("/>
    <w:docVar w:name="IDEV-Version" w:val="1.1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72246280-B104-4E63-9E2A-52ABE8DD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Times New Roman" w:hAnsi="Times New Roman"/>
      <w:b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K">
    <w:name w:val="StK"/>
    <w:basedOn w:val="Standard"/>
    <w:uiPriority w:val="99"/>
    <w:pPr>
      <w:spacing w:line="360" w:lineRule="auto"/>
    </w:pPr>
  </w:style>
  <w:style w:type="paragraph" w:customStyle="1" w:styleId="StKAnschriftenfeld">
    <w:name w:val="StK Anschriftenfeld"/>
    <w:basedOn w:val="StK"/>
    <w:pPr>
      <w:spacing w:line="240" w:lineRule="auto"/>
    </w:pPr>
  </w:style>
  <w:style w:type="paragraph" w:customStyle="1" w:styleId="SLNummer">
    <w:name w:val="SLNummer"/>
    <w:basedOn w:val="Standard"/>
    <w:next w:val="Standard"/>
    <w:pPr>
      <w:tabs>
        <w:tab w:val="right" w:pos="-142"/>
      </w:tabs>
      <w:ind w:hanging="1134"/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rPr>
      <w:rFonts w:ascii="Arial" w:hAnsi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Verfgungstext">
    <w:name w:val="Verfügungstext"/>
    <w:basedOn w:val="Standard"/>
    <w:pPr>
      <w:ind w:left="426"/>
    </w:pPr>
    <w:rPr>
      <w:sz w:val="22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istenabsatz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L"/>
    <w:basedOn w:val="Standard"/>
    <w:link w:val="ListenabsatzZchn"/>
    <w:uiPriority w:val="34"/>
    <w:qFormat/>
    <w:pPr>
      <w:ind w:left="720"/>
      <w:contextualSpacing/>
    </w:pPr>
  </w:style>
  <w:style w:type="character" w:customStyle="1" w:styleId="berschrift1Zchn">
    <w:name w:val="Überschrift 1 Zchn"/>
    <w:link w:val="berschrift1"/>
    <w:rPr>
      <w:b/>
      <w:sz w:val="24"/>
    </w:rPr>
  </w:style>
  <w:style w:type="paragraph" w:customStyle="1" w:styleId="FormatAnschrift">
    <w:name w:val="FormatAnschrift"/>
    <w:basedOn w:val="Standard"/>
    <w:rPr>
      <w:kern w:val="16"/>
    </w:rPr>
  </w:style>
  <w:style w:type="paragraph" w:styleId="Sprechblasentext">
    <w:name w:val="Balloon Text"/>
    <w:basedOn w:val="Standard"/>
    <w:link w:val="SprechblasentextZchn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Pr>
      <w:rFonts w:ascii="Segoe UI" w:hAnsi="Segoe UI" w:cs="Segoe UI"/>
      <w:sz w:val="18"/>
      <w:szCs w:val="18"/>
    </w:rPr>
  </w:style>
  <w:style w:type="paragraph" w:customStyle="1" w:styleId="PMberschrift1">
    <w:name w:val="PM Überschrift 1"/>
    <w:basedOn w:val="Standard"/>
    <w:uiPriority w:val="99"/>
    <w:pPr>
      <w:autoSpaceDE w:val="0"/>
      <w:autoSpaceDN w:val="0"/>
      <w:adjustRightInd w:val="0"/>
      <w:textAlignment w:val="center"/>
    </w:pPr>
    <w:rPr>
      <w:rFonts w:eastAsia="MS Mincho" w:cs="Arial"/>
      <w:b/>
      <w:caps/>
      <w:color w:val="008ECC"/>
      <w:sz w:val="32"/>
      <w:szCs w:val="32"/>
      <w:lang w:eastAsia="ja-JP"/>
    </w:rPr>
  </w:style>
  <w:style w:type="paragraph" w:customStyle="1" w:styleId="PMberschrift2">
    <w:name w:val="PM Überschrift 2"/>
    <w:basedOn w:val="Standard"/>
    <w:pPr>
      <w:autoSpaceDE w:val="0"/>
      <w:autoSpaceDN w:val="0"/>
      <w:adjustRightInd w:val="0"/>
      <w:textAlignment w:val="center"/>
    </w:pPr>
    <w:rPr>
      <w:rFonts w:eastAsia="MS Mincho" w:cs="Arial"/>
      <w:b/>
      <w:color w:val="008ECC"/>
      <w:szCs w:val="24"/>
      <w:lang w:eastAsia="ja-JP"/>
    </w:rPr>
  </w:style>
  <w:style w:type="paragraph" w:customStyle="1" w:styleId="PMText">
    <w:name w:val="PM Text"/>
    <w:basedOn w:val="Standard"/>
    <w:uiPriority w:val="99"/>
    <w:pPr>
      <w:autoSpaceDE w:val="0"/>
      <w:autoSpaceDN w:val="0"/>
      <w:adjustRightInd w:val="0"/>
      <w:spacing w:line="360" w:lineRule="auto"/>
    </w:pPr>
    <w:rPr>
      <w:rFonts w:eastAsia="MS Mincho" w:cs="Arial"/>
      <w:sz w:val="21"/>
      <w:szCs w:val="21"/>
      <w:lang w:eastAsia="ja-JP"/>
    </w:rPr>
  </w:style>
  <w:style w:type="character" w:customStyle="1" w:styleId="FuzeileZchn">
    <w:name w:val="Fußzeile Zchn"/>
    <w:link w:val="Fuzeile"/>
    <w:rPr>
      <w:rFonts w:ascii="Arial" w:hAnsi="Arial"/>
      <w:sz w:val="24"/>
    </w:rPr>
  </w:style>
  <w:style w:type="paragraph" w:customStyle="1" w:styleId="PMTextfett">
    <w:name w:val="PM Text fett"/>
    <w:basedOn w:val="Standard"/>
    <w:pPr>
      <w:autoSpaceDE w:val="0"/>
      <w:autoSpaceDN w:val="0"/>
      <w:adjustRightInd w:val="0"/>
      <w:spacing w:line="360" w:lineRule="auto"/>
    </w:pPr>
    <w:rPr>
      <w:rFonts w:eastAsia="MS Mincho" w:cs="Arial"/>
      <w:b/>
      <w:sz w:val="21"/>
      <w:szCs w:val="21"/>
      <w:lang w:eastAsia="ja-JP"/>
    </w:rPr>
  </w:style>
  <w:style w:type="character" w:styleId="BesuchterLink">
    <w:name w:val="FollowedHyperlink"/>
    <w:basedOn w:val="Absatz-Standardschriftart"/>
    <w:semiHidden/>
    <w:unhideWhenUsed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Pr>
      <w:rFonts w:ascii="Arial" w:hAnsi="Arial"/>
      <w:b/>
      <w:bCs/>
    </w:rPr>
  </w:style>
  <w:style w:type="character" w:customStyle="1" w:styleId="ListenabsatzZchn">
    <w:name w:val="Listenabsatz Zchn"/>
    <w:aliases w:val="Dot pt Zchn,F5 List Paragraph Zchn,List Paragraph1 Zchn,No Spacing1 Zchn,List Paragraph Char Char Char Zchn,Indicator Text Zchn,Colorful List - Accent 11 Zchn,Numbered Para 1 Zchn,Bullet 1 Zchn,Bullet Points Zchn,MAIN CONTENT Zchn"/>
    <w:basedOn w:val="Absatz-Standardschriftart"/>
    <w:link w:val="Listenabsatz"/>
    <w:uiPriority w:val="34"/>
    <w:qFormat/>
    <w:rPr>
      <w:rFonts w:ascii="Arial" w:hAnsi="Arial"/>
      <w:sz w:val="24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yerischesStaatsministeriumDerFinanzen" TargetMode="External"/><Relationship Id="rId13" Type="http://schemas.openxmlformats.org/officeDocument/2006/relationships/hyperlink" Target="http://instagram.com/finanzen_bayern" TargetMode="External"/><Relationship Id="rId3" Type="http://schemas.openxmlformats.org/officeDocument/2006/relationships/hyperlink" Target="https://www.stmfh.bayern.de/datenschutz.aspx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hyperlink" Target="http://www.stmfh.bayern.de" TargetMode="External"/><Relationship Id="rId1" Type="http://schemas.openxmlformats.org/officeDocument/2006/relationships/hyperlink" Target="mailto:presse@stmfh.bayern.de" TargetMode="External"/><Relationship Id="rId6" Type="http://schemas.openxmlformats.org/officeDocument/2006/relationships/hyperlink" Target="http://www.facebook.com/BayerischesStaatsministeriumDerFinanzen/" TargetMode="External"/><Relationship Id="rId11" Type="http://schemas.openxmlformats.org/officeDocument/2006/relationships/hyperlink" Target="https://www.youtube.com/channel/UCrU4b_4Wul3KiJb0tP6mio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hyperlink" Target="https://twitter.com/finanzen_Bayern" TargetMode="External"/><Relationship Id="rId9" Type="http://schemas.openxmlformats.org/officeDocument/2006/relationships/hyperlink" Target="https://www.instagram.com/finanzen_heimat_bayer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E6467-2D4A-4353-BFF9-03237BF4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«Empfängerhinweis»</vt:lpstr>
    </vt:vector>
  </TitlesOfParts>
  <Company>Bayer. Staatskanzlei</Company>
  <LinksUpToDate>false</LinksUpToDate>
  <CharactersWithSpaces>545</CharactersWithSpaces>
  <SharedDoc>false</SharedDoc>
  <HLinks>
    <vt:vector size="54" baseType="variant">
      <vt:variant>
        <vt:i4>7798798</vt:i4>
      </vt:variant>
      <vt:variant>
        <vt:i4>35</vt:i4>
      </vt:variant>
      <vt:variant>
        <vt:i4>0</vt:i4>
      </vt:variant>
      <vt:variant>
        <vt:i4>5</vt:i4>
      </vt:variant>
      <vt:variant>
        <vt:lpwstr>http://instagram.com/finanzen_bayern</vt:lpwstr>
      </vt:variant>
      <vt:variant>
        <vt:lpwstr/>
      </vt:variant>
      <vt:variant>
        <vt:i4>5374054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https://www.youtube.com/channel/UCrU4b_4Wul3KiJb0tP6miog</vt:lpwstr>
      </vt:variant>
      <vt:variant>
        <vt:lpwstr/>
      </vt:variant>
      <vt:variant>
        <vt:i4>7536739</vt:i4>
      </vt:variant>
      <vt:variant>
        <vt:i4>29</vt:i4>
      </vt:variant>
      <vt:variant>
        <vt:i4>0</vt:i4>
      </vt:variant>
      <vt:variant>
        <vt:i4>5</vt:i4>
      </vt:variant>
      <vt:variant>
        <vt:lpwstr>https://www.instagram.com/finanzen_heimat_bayern/</vt:lpwstr>
      </vt:variant>
      <vt:variant>
        <vt:lpwstr/>
      </vt:variant>
      <vt:variant>
        <vt:i4>5767260</vt:i4>
      </vt:variant>
      <vt:variant>
        <vt:i4>26</vt:i4>
      </vt:variant>
      <vt:variant>
        <vt:i4>0</vt:i4>
      </vt:variant>
      <vt:variant>
        <vt:i4>5</vt:i4>
      </vt:variant>
      <vt:variant>
        <vt:lpwstr>https://www.facebook.com/BayerischesStaatsministeriumDerFinanzen</vt:lpwstr>
      </vt:variant>
      <vt:variant>
        <vt:lpwstr/>
      </vt:variant>
      <vt:variant>
        <vt:i4>1572928</vt:i4>
      </vt:variant>
      <vt:variant>
        <vt:i4>23</vt:i4>
      </vt:variant>
      <vt:variant>
        <vt:i4>0</vt:i4>
      </vt:variant>
      <vt:variant>
        <vt:i4>5</vt:i4>
      </vt:variant>
      <vt:variant>
        <vt:lpwstr>http://www.facebook.com/BayerischesStaatsministeriumDerFinanzen/</vt:lpwstr>
      </vt:variant>
      <vt:variant>
        <vt:lpwstr/>
      </vt:variant>
      <vt:variant>
        <vt:i4>7077901</vt:i4>
      </vt:variant>
      <vt:variant>
        <vt:i4>20</vt:i4>
      </vt:variant>
      <vt:variant>
        <vt:i4>0</vt:i4>
      </vt:variant>
      <vt:variant>
        <vt:i4>5</vt:i4>
      </vt:variant>
      <vt:variant>
        <vt:lpwstr>https://twitter.com/finanzen_Bayern</vt:lpwstr>
      </vt:variant>
      <vt:variant>
        <vt:lpwstr/>
      </vt:variant>
      <vt:variant>
        <vt:i4>1769495</vt:i4>
      </vt:variant>
      <vt:variant>
        <vt:i4>17</vt:i4>
      </vt:variant>
      <vt:variant>
        <vt:i4>0</vt:i4>
      </vt:variant>
      <vt:variant>
        <vt:i4>5</vt:i4>
      </vt:variant>
      <vt:variant>
        <vt:lpwstr>https://www.stmfh.bayern.de/datenschutz.aspx</vt:lpwstr>
      </vt:variant>
      <vt:variant>
        <vt:lpwstr/>
      </vt:variant>
      <vt:variant>
        <vt:i4>8323170</vt:i4>
      </vt:variant>
      <vt:variant>
        <vt:i4>14</vt:i4>
      </vt:variant>
      <vt:variant>
        <vt:i4>0</vt:i4>
      </vt:variant>
      <vt:variant>
        <vt:i4>5</vt:i4>
      </vt:variant>
      <vt:variant>
        <vt:lpwstr>http://www.stmfh.bayern.de/</vt:lpwstr>
      </vt:variant>
      <vt:variant>
        <vt:lpwstr/>
      </vt:variant>
      <vt:variant>
        <vt:i4>7733279</vt:i4>
      </vt:variant>
      <vt:variant>
        <vt:i4>11</vt:i4>
      </vt:variant>
      <vt:variant>
        <vt:i4>0</vt:i4>
      </vt:variant>
      <vt:variant>
        <vt:i4>5</vt:i4>
      </vt:variant>
      <vt:variant>
        <vt:lpwstr>mailto:presse@stmfh.bayern.de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«Empfängerhinweis»</dc:title>
  <dc:subject/>
  <dc:creator>Miller, Nicole (StMFH)</dc:creator>
  <cp:keywords/>
  <cp:lastModifiedBy>Pfeffer, Patricia (StMFH)</cp:lastModifiedBy>
  <cp:revision>2</cp:revision>
  <cp:lastPrinted>2025-05-23T07:48:00Z</cp:lastPrinted>
  <dcterms:created xsi:type="dcterms:W3CDTF">2025-05-23T07:50:00Z</dcterms:created>
  <dcterms:modified xsi:type="dcterms:W3CDTF">2025-05-23T07:50:00Z</dcterms:modified>
</cp:coreProperties>
</file>